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737B0" w14:textId="77777777" w:rsidR="002A4A07" w:rsidRPr="002A4A07" w:rsidRDefault="002A4A07" w:rsidP="002A4A07">
      <w:pPr>
        <w:rPr>
          <w:b/>
          <w:bCs/>
        </w:rPr>
      </w:pPr>
      <w:r w:rsidRPr="002A4A07">
        <w:rPr>
          <w:b/>
          <w:bCs/>
        </w:rPr>
        <w:t>Resources for Survivors of Sexual Assault, Sexual Harassment, Domestic/Dating Violence, and Stalking</w:t>
      </w:r>
    </w:p>
    <w:p w14:paraId="0A3FCC1C" w14:textId="2A063699" w:rsidR="000E4CA7" w:rsidRDefault="000E4CA7"/>
    <w:p w14:paraId="62C7A77A" w14:textId="77777777" w:rsidR="00E97162" w:rsidRDefault="00E97162" w:rsidP="00E97162">
      <w:r>
        <w:t>IDHR</w:t>
      </w:r>
    </w:p>
    <w:p w14:paraId="2336472A" w14:textId="38452458" w:rsidR="00E97162" w:rsidRDefault="00E97162" w:rsidP="00E97162">
      <w:hyperlink r:id="rId5" w:history="1">
        <w:r w:rsidRPr="00E97162">
          <w:rPr>
            <w:rStyle w:val="Hyperlink"/>
          </w:rPr>
          <w:t>idhr@mit.edu</w:t>
        </w:r>
      </w:hyperlink>
      <w:r w:rsidRPr="00E97162">
        <w:t xml:space="preserve"> </w:t>
      </w:r>
    </w:p>
    <w:p w14:paraId="3F5803E2" w14:textId="2070D208" w:rsidR="00E97162" w:rsidRPr="00E97162" w:rsidRDefault="00E97162" w:rsidP="00E97162">
      <w:r w:rsidRPr="00E97162">
        <w:t>617-715-4080</w:t>
      </w:r>
    </w:p>
    <w:p w14:paraId="4B696592" w14:textId="4F9024C7" w:rsidR="00E97162" w:rsidRDefault="00E97162"/>
    <w:p w14:paraId="1997776E" w14:textId="77777777" w:rsidR="00E97162" w:rsidRPr="002A4A07" w:rsidRDefault="00E97162" w:rsidP="00E97162">
      <w:pPr>
        <w:rPr>
          <w:b/>
          <w:bCs/>
        </w:rPr>
      </w:pPr>
      <w:r w:rsidRPr="00E97162">
        <w:rPr>
          <w:b/>
          <w:bCs/>
        </w:rPr>
        <w:t xml:space="preserve">WHAT TO DO </w:t>
      </w:r>
    </w:p>
    <w:p w14:paraId="5BFFFEF9" w14:textId="62CD656A" w:rsidR="00E97162" w:rsidRDefault="00E97162" w:rsidP="00E97162">
      <w:r w:rsidRPr="00E97162">
        <w:t>Some options to consider…</w:t>
      </w:r>
    </w:p>
    <w:p w14:paraId="0ABE6A12" w14:textId="77777777" w:rsidR="002A4A07" w:rsidRDefault="002A4A07" w:rsidP="00E97162"/>
    <w:p w14:paraId="68C9E57B" w14:textId="2F988F4E" w:rsidR="00E97162" w:rsidRPr="00E97162" w:rsidRDefault="00E97162" w:rsidP="00E97162">
      <w:r w:rsidRPr="00E97162">
        <w:t>GET TO A SAFE PLACE</w:t>
      </w:r>
    </w:p>
    <w:p w14:paraId="7CB88505" w14:textId="4E10C9D2" w:rsidR="00E97162" w:rsidRDefault="00E97162" w:rsidP="00E97162"/>
    <w:p w14:paraId="6DA7E5A2" w14:textId="77777777" w:rsidR="00E97162" w:rsidRPr="00E97162" w:rsidRDefault="00E97162" w:rsidP="00E97162">
      <w:r w:rsidRPr="00E97162">
        <w:t>TALK TO SOMEONE</w:t>
      </w:r>
    </w:p>
    <w:p w14:paraId="2571C69A" w14:textId="77777777" w:rsidR="00E97162" w:rsidRPr="00E97162" w:rsidRDefault="00E97162" w:rsidP="00E97162">
      <w:r w:rsidRPr="00E97162">
        <w:t>Violence Prevention &amp; Response (VPR) is available for confidential support, information, and resources.</w:t>
      </w:r>
    </w:p>
    <w:p w14:paraId="751B5135" w14:textId="6B5BA607" w:rsidR="00E97162" w:rsidRDefault="00E97162" w:rsidP="00E97162"/>
    <w:p w14:paraId="007B99BF" w14:textId="77777777" w:rsidR="00E97162" w:rsidRPr="00E97162" w:rsidRDefault="00E97162" w:rsidP="00E97162">
      <w:r w:rsidRPr="00E97162">
        <w:t>PRESERVE EVIDENCE</w:t>
      </w:r>
    </w:p>
    <w:p w14:paraId="48D76A41" w14:textId="77777777" w:rsidR="002A4A07" w:rsidRDefault="00E97162" w:rsidP="00E97162">
      <w:r w:rsidRPr="00E97162">
        <w:t xml:space="preserve">For Sexual Assault: </w:t>
      </w:r>
    </w:p>
    <w:p w14:paraId="7343D2AA" w14:textId="77777777" w:rsidR="002A4A07" w:rsidRDefault="00E97162" w:rsidP="002A4A07">
      <w:pPr>
        <w:pStyle w:val="ListParagraph"/>
        <w:numPr>
          <w:ilvl w:val="0"/>
          <w:numId w:val="2"/>
        </w:numPr>
      </w:pPr>
      <w:r w:rsidRPr="00E97162">
        <w:t xml:space="preserve">Physical evidence may be necessary to prosecute the offender and may be helpful in obtaining an Order of Protection. </w:t>
      </w:r>
    </w:p>
    <w:p w14:paraId="6C1F8744" w14:textId="77777777" w:rsidR="002A4A07" w:rsidRDefault="00E97162" w:rsidP="002A4A07">
      <w:pPr>
        <w:pStyle w:val="ListParagraph"/>
        <w:numPr>
          <w:ilvl w:val="0"/>
          <w:numId w:val="2"/>
        </w:numPr>
      </w:pPr>
      <w:r w:rsidRPr="00E97162">
        <w:t xml:space="preserve">If at all possible, do not bathe, wash your hands, use the toilet, drink, smoke, change clothing, or brush your teeth. </w:t>
      </w:r>
    </w:p>
    <w:p w14:paraId="56758C5F" w14:textId="77777777" w:rsidR="002A4A07" w:rsidRDefault="00E97162" w:rsidP="002A4A07">
      <w:pPr>
        <w:pStyle w:val="ListParagraph"/>
        <w:numPr>
          <w:ilvl w:val="0"/>
          <w:numId w:val="2"/>
        </w:numPr>
      </w:pPr>
      <w:r w:rsidRPr="00E97162">
        <w:t xml:space="preserve">Cambridge Hospital and MGH are nearby “SANE” sites, which have specially trained sexual assault nurse examiners who care for victims of sexual assault and conduct a “medical evidence collection kit” at no direct cost to you. </w:t>
      </w:r>
    </w:p>
    <w:p w14:paraId="641F1457" w14:textId="45A14234" w:rsidR="002A4A07" w:rsidRDefault="00E97162" w:rsidP="002A4A07">
      <w:pPr>
        <w:pStyle w:val="ListParagraph"/>
        <w:numPr>
          <w:ilvl w:val="0"/>
          <w:numId w:val="2"/>
        </w:numPr>
      </w:pPr>
      <w:r w:rsidRPr="00E97162">
        <w:t xml:space="preserve">You don’t need to file a police report to get a forensic exam. VPR can accompany you to this exam. </w:t>
      </w:r>
    </w:p>
    <w:p w14:paraId="553E9416" w14:textId="5CC3F1C6" w:rsidR="002A4A07" w:rsidRDefault="00E97162" w:rsidP="00E97162">
      <w:r w:rsidRPr="00E97162">
        <w:t xml:space="preserve">Keep emails, text messages, social media postings, or any other information about the incident. </w:t>
      </w:r>
    </w:p>
    <w:p w14:paraId="197FE57D" w14:textId="77777777" w:rsidR="002A4A07" w:rsidRDefault="002A4A07" w:rsidP="00E97162"/>
    <w:p w14:paraId="6E2A04F6" w14:textId="77777777" w:rsidR="002A4A07" w:rsidRDefault="00E97162" w:rsidP="00E97162">
      <w:r w:rsidRPr="00E97162">
        <w:t xml:space="preserve">SEEK MEDICAL ATTENTION </w:t>
      </w:r>
    </w:p>
    <w:p w14:paraId="5E9292BD" w14:textId="77777777" w:rsidR="002A4A07" w:rsidRDefault="00E97162" w:rsidP="00E97162">
      <w:r w:rsidRPr="00E97162">
        <w:t xml:space="preserve">Seek immediate medical attention if you are injured or believe you may have been exposed to an STI/STD or potential pregnancy. Cambridge and MGH can provide medical services and conduct evidence collection. Medical services are also provided on campus to students by MIT Medical. EMERGENCIES: Call 9-1-1 OFF-CAMPUS &amp; MIT POLICE ON-CAMPUS (617-253-1212). </w:t>
      </w:r>
    </w:p>
    <w:p w14:paraId="7D52DD73" w14:textId="77777777" w:rsidR="002A4A07" w:rsidRDefault="002A4A07" w:rsidP="00E97162"/>
    <w:p w14:paraId="2F760A65" w14:textId="77777777" w:rsidR="002A4A07" w:rsidRDefault="00E97162" w:rsidP="00E97162">
      <w:r w:rsidRPr="00E97162">
        <w:t xml:space="preserve">SEEK COUNSELING </w:t>
      </w:r>
    </w:p>
    <w:p w14:paraId="67118F8C" w14:textId="7AF54C1E" w:rsidR="002A4A07" w:rsidRDefault="00E97162" w:rsidP="00E97162">
      <w:r w:rsidRPr="00E97162">
        <w:t xml:space="preserve">Confidential counseling is available to students through Student Mental Health &amp; Counseling Services (617-253-2916) and to employees through </w:t>
      </w:r>
      <w:proofErr w:type="spellStart"/>
      <w:r w:rsidRPr="00E97162">
        <w:t>MyLife</w:t>
      </w:r>
      <w:proofErr w:type="spellEnd"/>
      <w:r w:rsidRPr="00E97162">
        <w:t xml:space="preserve"> Services (844-405-5433). </w:t>
      </w:r>
    </w:p>
    <w:p w14:paraId="14B83C7D" w14:textId="77777777" w:rsidR="002A4A07" w:rsidRDefault="002A4A07" w:rsidP="00E97162"/>
    <w:p w14:paraId="76A1C8AB" w14:textId="77777777" w:rsidR="002A4A07" w:rsidRDefault="00E97162" w:rsidP="00E97162">
      <w:r w:rsidRPr="00E97162">
        <w:t xml:space="preserve">REPORT THE INCIDENT </w:t>
      </w:r>
    </w:p>
    <w:p w14:paraId="7ECC49B6" w14:textId="77777777" w:rsidR="002A4A07" w:rsidRDefault="00E97162" w:rsidP="00E97162">
      <w:r w:rsidRPr="00E97162">
        <w:t xml:space="preserve">Parties are encouraged to report to the Institute Discrimination &amp; Harassment Response (IDHR) Office and/or MIT Police. This is not a requirement. </w:t>
      </w:r>
    </w:p>
    <w:p w14:paraId="65859F8F" w14:textId="379C35E4" w:rsidR="00E97162" w:rsidRPr="00E97162" w:rsidRDefault="00E97162" w:rsidP="00E97162">
      <w:r w:rsidRPr="00E97162">
        <w:t>Note: Retaliation against anyone who files a report is strictly prohibited. Reports of retaliatory behavior will be investigated and could lead to disciplinary action.</w:t>
      </w:r>
    </w:p>
    <w:p w14:paraId="4DF14A19" w14:textId="77777777" w:rsidR="002A4A07" w:rsidRPr="002A4A07" w:rsidRDefault="00E97162" w:rsidP="00E97162">
      <w:pPr>
        <w:rPr>
          <w:b/>
          <w:bCs/>
        </w:rPr>
      </w:pPr>
      <w:r w:rsidRPr="00E97162">
        <w:rPr>
          <w:b/>
          <w:bCs/>
        </w:rPr>
        <w:lastRenderedPageBreak/>
        <w:t xml:space="preserve">RESOURCES </w:t>
      </w:r>
    </w:p>
    <w:p w14:paraId="75E49E7C" w14:textId="77777777" w:rsidR="002A4A07" w:rsidRDefault="00E97162" w:rsidP="00E97162">
      <w:r w:rsidRPr="00E97162">
        <w:t xml:space="preserve">You may receive assistance and support without disclosing details of the incident. The Institute is committed to responding to sexual misconduct and is required by Federal Law to investigate all allegations and take any remedial action deemed necessary to preserve your safety and that of the community, whether or not you wish to make a formal complaint. However, in planning any response, the wishes of the reporting individual are given full consideration. </w:t>
      </w:r>
    </w:p>
    <w:p w14:paraId="60BC9908" w14:textId="77777777" w:rsidR="002A4A07" w:rsidRDefault="002A4A07" w:rsidP="00E97162"/>
    <w:p w14:paraId="76C524FA" w14:textId="5EA0FAA6" w:rsidR="00E97162" w:rsidRPr="00E97162" w:rsidRDefault="00E97162" w:rsidP="00E97162">
      <w:r w:rsidRPr="00E97162">
        <w:t>The following chart is a guide for individuals seeking help and support to better understand the confidentiality levels of resources on and off campus.</w:t>
      </w:r>
    </w:p>
    <w:p w14:paraId="38453040" w14:textId="2025910D" w:rsidR="00E97162" w:rsidRDefault="00E97162" w:rsidP="00E97162"/>
    <w:p w14:paraId="61AF9CF5" w14:textId="77777777" w:rsidR="00E97162" w:rsidRPr="00E97162" w:rsidRDefault="00E97162" w:rsidP="00E97162">
      <w:r w:rsidRPr="00E97162">
        <w:t>“I want to think through my situation with someone who can keep my information as confidential as possible.”</w:t>
      </w:r>
    </w:p>
    <w:p w14:paraId="5D400C1E" w14:textId="77777777" w:rsidR="002A4A07" w:rsidRDefault="002A4A07" w:rsidP="00E97162"/>
    <w:p w14:paraId="1BBAAA26" w14:textId="3E47A2DF" w:rsidR="00E97162" w:rsidRPr="00E97162" w:rsidRDefault="00E97162" w:rsidP="00E97162">
      <w:r w:rsidRPr="00E97162">
        <w:t>CONFIDENTIAL FOR STUDENTS, FACULTY, STAFF, AND POSTDOCS</w:t>
      </w:r>
    </w:p>
    <w:p w14:paraId="5C3A748A" w14:textId="1B8FF062" w:rsidR="00E97162" w:rsidRDefault="00E97162" w:rsidP="00E97162"/>
    <w:p w14:paraId="79D64F5E" w14:textId="77777777" w:rsidR="002A4A07" w:rsidRDefault="00E97162" w:rsidP="00E97162">
      <w:r w:rsidRPr="00E97162">
        <w:t xml:space="preserve">MIT Resources </w:t>
      </w:r>
    </w:p>
    <w:p w14:paraId="6253B562" w14:textId="40624C8A" w:rsidR="002A4A07" w:rsidRDefault="00E97162" w:rsidP="002A4A07">
      <w:pPr>
        <w:pStyle w:val="ListParagraph"/>
        <w:numPr>
          <w:ilvl w:val="0"/>
          <w:numId w:val="2"/>
        </w:numPr>
      </w:pPr>
      <w:r w:rsidRPr="00E97162">
        <w:t xml:space="preserve">Violence Prevention &amp; Response: 617-253-2300 </w:t>
      </w:r>
    </w:p>
    <w:p w14:paraId="65BCBD7C" w14:textId="77777777" w:rsidR="002A4A07" w:rsidRDefault="00E97162" w:rsidP="002A4A07">
      <w:pPr>
        <w:pStyle w:val="ListParagraph"/>
        <w:numPr>
          <w:ilvl w:val="0"/>
          <w:numId w:val="2"/>
        </w:numPr>
      </w:pPr>
      <w:r w:rsidRPr="00E97162">
        <w:t>Student Mental Health &amp; Counseling: 617-253-2916</w:t>
      </w:r>
    </w:p>
    <w:p w14:paraId="00E2219C" w14:textId="77777777" w:rsidR="002A4A07" w:rsidRDefault="00E97162" w:rsidP="002A4A07">
      <w:pPr>
        <w:pStyle w:val="ListParagraph"/>
        <w:numPr>
          <w:ilvl w:val="0"/>
          <w:numId w:val="2"/>
        </w:numPr>
      </w:pPr>
      <w:r w:rsidRPr="00E97162">
        <w:t xml:space="preserve">MIT Medical: 617-253-4481 </w:t>
      </w:r>
    </w:p>
    <w:p w14:paraId="16F52EC8" w14:textId="77777777" w:rsidR="002A4A07" w:rsidRDefault="00E97162" w:rsidP="002A4A07">
      <w:pPr>
        <w:pStyle w:val="ListParagraph"/>
        <w:numPr>
          <w:ilvl w:val="0"/>
          <w:numId w:val="2"/>
        </w:numPr>
      </w:pPr>
      <w:r w:rsidRPr="00E97162">
        <w:t xml:space="preserve">Chaplains: 617-253-7707 </w:t>
      </w:r>
    </w:p>
    <w:p w14:paraId="337B9B25" w14:textId="77777777" w:rsidR="002A4A07" w:rsidRDefault="00E97162" w:rsidP="002A4A07">
      <w:pPr>
        <w:pStyle w:val="ListParagraph"/>
        <w:numPr>
          <w:ilvl w:val="0"/>
          <w:numId w:val="2"/>
        </w:numPr>
      </w:pPr>
      <w:proofErr w:type="spellStart"/>
      <w:r w:rsidRPr="00E97162">
        <w:t>Ombuds</w:t>
      </w:r>
      <w:proofErr w:type="spellEnd"/>
      <w:r w:rsidRPr="00E97162">
        <w:t xml:space="preserve"> Office: 617-253-5921 </w:t>
      </w:r>
    </w:p>
    <w:p w14:paraId="14AA424F" w14:textId="29FEEA9F" w:rsidR="00E97162" w:rsidRDefault="00E97162" w:rsidP="002A4A07">
      <w:pPr>
        <w:pStyle w:val="ListParagraph"/>
        <w:numPr>
          <w:ilvl w:val="0"/>
          <w:numId w:val="2"/>
        </w:numPr>
      </w:pPr>
      <w:proofErr w:type="spellStart"/>
      <w:r w:rsidRPr="00E97162">
        <w:t>MyLife</w:t>
      </w:r>
      <w:proofErr w:type="spellEnd"/>
      <w:r w:rsidRPr="00E97162">
        <w:t xml:space="preserve"> Services: 844-405-LIFE</w:t>
      </w:r>
    </w:p>
    <w:p w14:paraId="2CDB033C" w14:textId="77777777" w:rsidR="002A4A07" w:rsidRDefault="002A4A07" w:rsidP="002A4A07"/>
    <w:p w14:paraId="148D4D09" w14:textId="51BBCE02" w:rsidR="00E97162" w:rsidRPr="00E97162" w:rsidRDefault="00E97162" w:rsidP="002A4A07">
      <w:r w:rsidRPr="00E97162">
        <w:t>Community Resources</w:t>
      </w:r>
    </w:p>
    <w:p w14:paraId="6FC81B5D" w14:textId="77777777" w:rsidR="002A4A07" w:rsidRDefault="00E97162" w:rsidP="002A4A07">
      <w:pPr>
        <w:pStyle w:val="ListParagraph"/>
        <w:numPr>
          <w:ilvl w:val="0"/>
          <w:numId w:val="4"/>
        </w:numPr>
      </w:pPr>
      <w:r w:rsidRPr="00E97162">
        <w:t xml:space="preserve">Boston Area Rape Crisis Center (BARCC): 1-800-841-8371 </w:t>
      </w:r>
    </w:p>
    <w:p w14:paraId="7612CA51" w14:textId="77777777" w:rsidR="002A4A07" w:rsidRDefault="00E97162" w:rsidP="002A4A07">
      <w:pPr>
        <w:pStyle w:val="ListParagraph"/>
        <w:numPr>
          <w:ilvl w:val="0"/>
          <w:numId w:val="4"/>
        </w:numPr>
      </w:pPr>
      <w:r w:rsidRPr="00E97162">
        <w:t xml:space="preserve">Transition House (DV Shelter): 617-661-7203 </w:t>
      </w:r>
    </w:p>
    <w:p w14:paraId="3E86AFC4" w14:textId="77777777" w:rsidR="002A4A07" w:rsidRDefault="00E97162" w:rsidP="002A4A07">
      <w:pPr>
        <w:pStyle w:val="ListParagraph"/>
        <w:numPr>
          <w:ilvl w:val="0"/>
          <w:numId w:val="4"/>
        </w:numPr>
      </w:pPr>
      <w:r w:rsidRPr="00E97162">
        <w:t xml:space="preserve">Network La Red (LBGTQ Services): 617-742-4911 </w:t>
      </w:r>
    </w:p>
    <w:p w14:paraId="4B2354F0" w14:textId="77777777" w:rsidR="002A4A07" w:rsidRDefault="00E97162" w:rsidP="002A4A07">
      <w:pPr>
        <w:pStyle w:val="ListParagraph"/>
        <w:numPr>
          <w:ilvl w:val="0"/>
          <w:numId w:val="4"/>
        </w:numPr>
      </w:pPr>
      <w:r w:rsidRPr="00E97162">
        <w:t xml:space="preserve">Victim Rights Law Center: 617-399-6720 </w:t>
      </w:r>
    </w:p>
    <w:p w14:paraId="5592AB45" w14:textId="52E2354B" w:rsidR="00E97162" w:rsidRDefault="00E97162" w:rsidP="002A4A07">
      <w:pPr>
        <w:pStyle w:val="ListParagraph"/>
        <w:numPr>
          <w:ilvl w:val="0"/>
          <w:numId w:val="4"/>
        </w:numPr>
      </w:pPr>
      <w:r w:rsidRPr="00E97162">
        <w:t>RAINN (hotline): 1-800-656-HOPE</w:t>
      </w:r>
    </w:p>
    <w:p w14:paraId="03CF176B" w14:textId="3AC2121A" w:rsidR="00E97162" w:rsidRDefault="00E97162" w:rsidP="00E97162"/>
    <w:p w14:paraId="78474629" w14:textId="544E0805" w:rsidR="00E97162" w:rsidRPr="00E97162" w:rsidRDefault="00E97162" w:rsidP="00E97162">
      <w:r w:rsidRPr="00E97162">
        <w:t xml:space="preserve">“I need to speak with </w:t>
      </w:r>
      <w:proofErr w:type="gramStart"/>
      <w:r w:rsidRPr="00E97162">
        <w:t>someone</w:t>
      </w:r>
      <w:proofErr w:type="gramEnd"/>
      <w:r w:rsidRPr="00E97162">
        <w:t xml:space="preserve"> and it is okay if that person needs to tell IDHR Staf</w:t>
      </w:r>
      <w:r>
        <w:t>f.”</w:t>
      </w:r>
    </w:p>
    <w:p w14:paraId="5CFAD5F0" w14:textId="77777777" w:rsidR="002A4A07" w:rsidRDefault="002A4A07" w:rsidP="00E97162"/>
    <w:p w14:paraId="7BAEF1D2" w14:textId="21C350AE" w:rsidR="00E97162" w:rsidRPr="00E97162" w:rsidRDefault="00E97162" w:rsidP="00E97162">
      <w:r w:rsidRPr="00E97162">
        <w:t>PRIVATE</w:t>
      </w:r>
    </w:p>
    <w:p w14:paraId="7B516812" w14:textId="77777777" w:rsidR="002A4A07" w:rsidRDefault="00E97162" w:rsidP="002A4A07">
      <w:pPr>
        <w:pStyle w:val="ListParagraph"/>
        <w:numPr>
          <w:ilvl w:val="0"/>
          <w:numId w:val="5"/>
        </w:numPr>
      </w:pPr>
      <w:r w:rsidRPr="00E97162">
        <w:t xml:space="preserve">IDHR Staff </w:t>
      </w:r>
    </w:p>
    <w:p w14:paraId="28BBB4E1" w14:textId="77777777" w:rsidR="002A4A07" w:rsidRDefault="00E97162" w:rsidP="002A4A07">
      <w:pPr>
        <w:pStyle w:val="ListParagraph"/>
        <w:numPr>
          <w:ilvl w:val="0"/>
          <w:numId w:val="5"/>
        </w:numPr>
      </w:pPr>
      <w:r w:rsidRPr="00E97162">
        <w:t xml:space="preserve">Student Life Staff </w:t>
      </w:r>
    </w:p>
    <w:p w14:paraId="5E9BA33F" w14:textId="77777777" w:rsidR="002A4A07" w:rsidRDefault="00E97162" w:rsidP="002A4A07">
      <w:pPr>
        <w:pStyle w:val="ListParagraph"/>
        <w:numPr>
          <w:ilvl w:val="0"/>
          <w:numId w:val="5"/>
        </w:numPr>
      </w:pPr>
      <w:r w:rsidRPr="00E97162">
        <w:t xml:space="preserve">Residential Life Staff </w:t>
      </w:r>
    </w:p>
    <w:p w14:paraId="0DF86ABD" w14:textId="2F99F428" w:rsidR="002A4A07" w:rsidRDefault="00E97162" w:rsidP="002A4A07">
      <w:pPr>
        <w:pStyle w:val="ListParagraph"/>
        <w:numPr>
          <w:ilvl w:val="0"/>
          <w:numId w:val="5"/>
        </w:numPr>
      </w:pPr>
      <w:r w:rsidRPr="00E97162">
        <w:t xml:space="preserve">Academic Advisor </w:t>
      </w:r>
    </w:p>
    <w:p w14:paraId="11E26DB8" w14:textId="77777777" w:rsidR="002A4A07" w:rsidRDefault="00E97162" w:rsidP="002A4A07">
      <w:pPr>
        <w:pStyle w:val="ListParagraph"/>
        <w:numPr>
          <w:ilvl w:val="0"/>
          <w:numId w:val="5"/>
        </w:numPr>
      </w:pPr>
      <w:r w:rsidRPr="00E97162">
        <w:t xml:space="preserve">Faculty </w:t>
      </w:r>
    </w:p>
    <w:p w14:paraId="299E0E5E" w14:textId="52EE0FD6" w:rsidR="002A4A07" w:rsidRDefault="00E97162" w:rsidP="002A4A07">
      <w:pPr>
        <w:pStyle w:val="ListParagraph"/>
        <w:numPr>
          <w:ilvl w:val="0"/>
          <w:numId w:val="5"/>
        </w:numPr>
      </w:pPr>
      <w:r w:rsidRPr="00E97162">
        <w:t xml:space="preserve">Coaches </w:t>
      </w:r>
    </w:p>
    <w:p w14:paraId="1483C579" w14:textId="77777777" w:rsidR="002A4A07" w:rsidRDefault="00E97162" w:rsidP="002A4A07">
      <w:pPr>
        <w:pStyle w:val="ListParagraph"/>
        <w:numPr>
          <w:ilvl w:val="0"/>
          <w:numId w:val="5"/>
        </w:numPr>
      </w:pPr>
      <w:r w:rsidRPr="00E97162">
        <w:t xml:space="preserve">Deputy Title IX Coordinators </w:t>
      </w:r>
    </w:p>
    <w:p w14:paraId="321CC7C7" w14:textId="77777777" w:rsidR="002A4A07" w:rsidRDefault="00E97162" w:rsidP="002A4A07">
      <w:pPr>
        <w:pStyle w:val="ListParagraph"/>
        <w:numPr>
          <w:ilvl w:val="0"/>
          <w:numId w:val="5"/>
        </w:numPr>
      </w:pPr>
      <w:r w:rsidRPr="00E97162">
        <w:t>Student Support Services (S</w:t>
      </w:r>
      <w:proofErr w:type="gramStart"/>
      <w:r w:rsidRPr="00E97162">
        <w:t>3 )</w:t>
      </w:r>
      <w:proofErr w:type="gramEnd"/>
    </w:p>
    <w:p w14:paraId="5B31D946" w14:textId="77777777" w:rsidR="002A4A07" w:rsidRDefault="00E97162" w:rsidP="002A4A07">
      <w:pPr>
        <w:pStyle w:val="ListParagraph"/>
        <w:numPr>
          <w:ilvl w:val="0"/>
          <w:numId w:val="5"/>
        </w:numPr>
      </w:pPr>
      <w:r w:rsidRPr="00E97162">
        <w:t>Office for Graduate Education (OGE)</w:t>
      </w:r>
    </w:p>
    <w:p w14:paraId="2ED5EE88" w14:textId="77777777" w:rsidR="002A4A07" w:rsidRDefault="00E97162" w:rsidP="002A4A07">
      <w:pPr>
        <w:pStyle w:val="ListParagraph"/>
        <w:numPr>
          <w:ilvl w:val="0"/>
          <w:numId w:val="5"/>
        </w:numPr>
      </w:pPr>
      <w:r w:rsidRPr="00E97162">
        <w:t xml:space="preserve">Managers &amp; Supervisors </w:t>
      </w:r>
    </w:p>
    <w:p w14:paraId="6CFD2D9F" w14:textId="77777777" w:rsidR="002A4A07" w:rsidRDefault="00E97162" w:rsidP="002A4A07">
      <w:pPr>
        <w:pStyle w:val="ListParagraph"/>
        <w:numPr>
          <w:ilvl w:val="0"/>
          <w:numId w:val="5"/>
        </w:numPr>
      </w:pPr>
      <w:r w:rsidRPr="00E97162">
        <w:t xml:space="preserve">Human Resource Officer in Central HR </w:t>
      </w:r>
    </w:p>
    <w:p w14:paraId="150FDD25" w14:textId="29C45BA9" w:rsidR="00E97162" w:rsidRPr="00E97162" w:rsidRDefault="00E97162" w:rsidP="002A4A07">
      <w:pPr>
        <w:pStyle w:val="ListParagraph"/>
        <w:numPr>
          <w:ilvl w:val="0"/>
          <w:numId w:val="5"/>
        </w:numPr>
      </w:pPr>
      <w:r w:rsidRPr="00E97162">
        <w:lastRenderedPageBreak/>
        <w:t>Human Resource contact in DLC</w:t>
      </w:r>
    </w:p>
    <w:p w14:paraId="423D4C0F" w14:textId="48181A40" w:rsidR="00E97162" w:rsidRDefault="00E97162" w:rsidP="00E97162"/>
    <w:p w14:paraId="0925E8EB" w14:textId="0E6542A9" w:rsidR="002A4A07" w:rsidRPr="002A4A07" w:rsidRDefault="00E97162" w:rsidP="00E97162">
      <w:pPr>
        <w:rPr>
          <w:b/>
          <w:bCs/>
        </w:rPr>
      </w:pPr>
      <w:r w:rsidRPr="00E97162">
        <w:rPr>
          <w:b/>
          <w:bCs/>
        </w:rPr>
        <w:t>REPORTING OPTIONS</w:t>
      </w:r>
    </w:p>
    <w:p w14:paraId="7B427B60" w14:textId="77777777" w:rsidR="002A4A07" w:rsidRDefault="00E97162" w:rsidP="00E97162">
      <w:r w:rsidRPr="00E97162">
        <w:t xml:space="preserve">You may pursue any or none of these options. You are not required to file a report immediately; but it is important to preserve any evidence of the incident. Visit idhr.mit.edu for detailed information about reporting options. MIT will take steps to keep your information private to the extent allowed by law. </w:t>
      </w:r>
    </w:p>
    <w:p w14:paraId="463DE1BD" w14:textId="2AE6AAC4" w:rsidR="002A4A07" w:rsidRDefault="00E97162" w:rsidP="00E97162">
      <w:r w:rsidRPr="00E97162">
        <w:t xml:space="preserve">REPORTING TO THE POLICE FOR A CRIMINAL COMPLAINT </w:t>
      </w:r>
    </w:p>
    <w:p w14:paraId="4C5ACDA2" w14:textId="77777777" w:rsidR="002A4A07" w:rsidRDefault="00E97162" w:rsidP="00E97162">
      <w:r w:rsidRPr="00E97162">
        <w:t>You are not required to file a criminal complaint. If you choose to, MIT will provide you with support throughout the process. You may file a criminal complaint by contacting the police. A criminal complaint is governed by applicable criminal statutes; the standard of proof is “beyond a reasonable doubt;” and potential sanctions include all applicable criminal sanctions, up to and including incarceration. You can also report an incident anonymously to the Police at: police.mit.edu/anonymous-</w:t>
      </w:r>
      <w:proofErr w:type="spellStart"/>
      <w:r w:rsidRPr="00E97162">
        <w:t>sexualassault</w:t>
      </w:r>
      <w:proofErr w:type="spellEnd"/>
      <w:r w:rsidRPr="00E97162">
        <w:t xml:space="preserve">-form. </w:t>
      </w:r>
    </w:p>
    <w:p w14:paraId="6C8BD000" w14:textId="77777777" w:rsidR="002A4A07" w:rsidRDefault="002A4A07" w:rsidP="00E97162"/>
    <w:p w14:paraId="41C651BA" w14:textId="77777777" w:rsidR="002A4A07" w:rsidRDefault="00E97162" w:rsidP="00E97162">
      <w:r w:rsidRPr="00E97162">
        <w:t xml:space="preserve">INCIDENT REPORTING TO IDHR AT MIT </w:t>
      </w:r>
    </w:p>
    <w:p w14:paraId="03224D56" w14:textId="77777777" w:rsidR="002A4A07" w:rsidRDefault="00E97162" w:rsidP="00E97162">
      <w:r w:rsidRPr="00E97162">
        <w:t xml:space="preserve">If the alleged perpetrator is affiliated with MIT, you may file a complaint with the Institute by contacting the IDHR Office. You have the right to file a complaint with MIT even if police conclude they do not have sufficient evidence for a criminal charge. The complaint is governed by the Institute’s Policies. You may seek supportive measures, informal/alternative dispute resolution processes, or a formal complaint process. The standard of proof is “a preponderance of the evidence;” (or more likely than not) and sanctions in the formal complaint process may include suspension or expulsion (for students) and termination (for employees). You can also report to MIT anonymously using our incident reporting form on idhr.mit.edu. </w:t>
      </w:r>
    </w:p>
    <w:p w14:paraId="7B45DA1A" w14:textId="77777777" w:rsidR="002A4A07" w:rsidRDefault="002A4A07" w:rsidP="00E97162"/>
    <w:p w14:paraId="2609D4F9" w14:textId="77777777" w:rsidR="002A4A07" w:rsidRDefault="00E97162" w:rsidP="00E97162">
      <w:r w:rsidRPr="00E97162">
        <w:t xml:space="preserve">INSTITUTE FORMAL COMPLAINT &amp; INVESTIGATION PROCESS </w:t>
      </w:r>
    </w:p>
    <w:p w14:paraId="363C9426" w14:textId="77777777" w:rsidR="002A4A07" w:rsidRDefault="00E97162" w:rsidP="00E97162">
      <w:r w:rsidRPr="00E97162">
        <w:t xml:space="preserve">MIT strives to provide a prompt, fair, and impartial process from the initial investigation to the final result. Investigations are conducted by trained IDHR staff. </w:t>
      </w:r>
    </w:p>
    <w:p w14:paraId="66800B00" w14:textId="77777777" w:rsidR="002A4A07" w:rsidRDefault="00E97162" w:rsidP="00E97162">
      <w:r w:rsidRPr="00E97162">
        <w:t xml:space="preserve">During an investigation both the Complainant (reporting party) and the Respondent (responding party) will: </w:t>
      </w:r>
    </w:p>
    <w:p w14:paraId="6BF68302" w14:textId="74942F61" w:rsidR="002A4A07" w:rsidRDefault="00E97162" w:rsidP="002A4A07">
      <w:pPr>
        <w:pStyle w:val="ListParagraph"/>
        <w:numPr>
          <w:ilvl w:val="0"/>
          <w:numId w:val="5"/>
        </w:numPr>
      </w:pPr>
      <w:r w:rsidRPr="00E97162">
        <w:t xml:space="preserve">Have the opportunity to be accompanied by an advisor of their choosing to any investigation related meeting or proceeding. </w:t>
      </w:r>
    </w:p>
    <w:p w14:paraId="141943B4" w14:textId="2A074556" w:rsidR="002A4A07" w:rsidRDefault="00E97162" w:rsidP="002A4A07">
      <w:pPr>
        <w:pStyle w:val="ListParagraph"/>
        <w:numPr>
          <w:ilvl w:val="0"/>
          <w:numId w:val="5"/>
        </w:numPr>
      </w:pPr>
      <w:r w:rsidRPr="00E97162">
        <w:t xml:space="preserve">Receive notification in writing of the result of any complaint investigation, procedures for appeal (when available), any changes to the result, and when the results become final. </w:t>
      </w:r>
    </w:p>
    <w:p w14:paraId="19003599" w14:textId="5932FCCE" w:rsidR="00E97162" w:rsidRPr="00E97162" w:rsidRDefault="00E97162" w:rsidP="00E97162">
      <w:r w:rsidRPr="00E97162">
        <w:t>To learn more about the formal complaint and investigation process for students and employees, please visit idhr.mit.edu.</w:t>
      </w:r>
    </w:p>
    <w:p w14:paraId="4E30D175" w14:textId="159E3AB3" w:rsidR="00E97162" w:rsidRDefault="00E97162" w:rsidP="00E97162"/>
    <w:p w14:paraId="5FC161D8" w14:textId="77777777" w:rsidR="002A4A07" w:rsidRDefault="00E97162" w:rsidP="00E97162">
      <w:r w:rsidRPr="00E97162">
        <w:t xml:space="preserve">WHAT YOU CAN EXPECT </w:t>
      </w:r>
    </w:p>
    <w:p w14:paraId="084C5F73" w14:textId="77777777" w:rsidR="002A4A07" w:rsidRDefault="00E97162" w:rsidP="002A4A07">
      <w:pPr>
        <w:pStyle w:val="ListParagraph"/>
        <w:numPr>
          <w:ilvl w:val="0"/>
          <w:numId w:val="5"/>
        </w:numPr>
      </w:pPr>
      <w:r w:rsidRPr="00E97162">
        <w:t xml:space="preserve">To be informed of all reporting options and not pressured to make a report </w:t>
      </w:r>
    </w:p>
    <w:p w14:paraId="27F003F5" w14:textId="77777777" w:rsidR="002A4A07" w:rsidRDefault="00E97162" w:rsidP="002A4A07">
      <w:pPr>
        <w:pStyle w:val="ListParagraph"/>
        <w:numPr>
          <w:ilvl w:val="0"/>
          <w:numId w:val="5"/>
        </w:numPr>
      </w:pPr>
      <w:r w:rsidRPr="00E97162">
        <w:t xml:space="preserve">To be notified of existing campus and community resources whether or not the crime is reported to campus or civil authorities </w:t>
      </w:r>
    </w:p>
    <w:p w14:paraId="11047760" w14:textId="77777777" w:rsidR="002A4A07" w:rsidRDefault="00E97162" w:rsidP="002A4A07">
      <w:pPr>
        <w:pStyle w:val="ListParagraph"/>
        <w:numPr>
          <w:ilvl w:val="0"/>
          <w:numId w:val="5"/>
        </w:numPr>
      </w:pPr>
      <w:r w:rsidRPr="00E97162">
        <w:t xml:space="preserve">To be informed of options for, and assistance with, making changes to academic, living, transportation, and working situations as well as protective measures offered by MIT </w:t>
      </w:r>
      <w:r w:rsidRPr="00E97162">
        <w:lastRenderedPageBreak/>
        <w:t xml:space="preserve">regardless of whether you choose to report to crime to campus police or local law enforcement. </w:t>
      </w:r>
    </w:p>
    <w:p w14:paraId="56DA4F6C" w14:textId="219CA220" w:rsidR="00E97162" w:rsidRPr="00E97162" w:rsidRDefault="00E97162" w:rsidP="002A4A07">
      <w:pPr>
        <w:pStyle w:val="ListParagraph"/>
        <w:numPr>
          <w:ilvl w:val="0"/>
          <w:numId w:val="5"/>
        </w:numPr>
      </w:pPr>
      <w:r w:rsidRPr="00E97162">
        <w:t xml:space="preserve">If pursuing a formal investigation, to be provided with a prompt, fair, and impartial investigation and resolution by officials who receive annual training on issues related to domestic violence, dating violence, sexual assault, and stalking. </w:t>
      </w:r>
    </w:p>
    <w:p w14:paraId="723EA5C3" w14:textId="1443B451" w:rsidR="00E97162" w:rsidRDefault="00E97162" w:rsidP="00E97162"/>
    <w:p w14:paraId="6B8BD01D" w14:textId="77777777" w:rsidR="002A4A07" w:rsidRDefault="00E97162" w:rsidP="00E97162">
      <w:r w:rsidRPr="00E97162">
        <w:t xml:space="preserve">OPTIONS TO DETER CONTACT </w:t>
      </w:r>
    </w:p>
    <w:p w14:paraId="5AD143F1" w14:textId="64BDD0DD" w:rsidR="002A4A07" w:rsidRDefault="00E97162" w:rsidP="002A4A07">
      <w:pPr>
        <w:pStyle w:val="ListParagraph"/>
        <w:numPr>
          <w:ilvl w:val="0"/>
          <w:numId w:val="5"/>
        </w:numPr>
      </w:pPr>
      <w:r w:rsidRPr="00E97162">
        <w:t xml:space="preserve">INSTITUTE-BASED NO-CONTACT ORDERS FOR STUDENTS: The IDHR Office can assist in establishing a mutual no-contact order between parties at MIT, whether or not there is a formal complaint filed. A violation of the no-contact order can result in disciplinary action through the MIT Committee on Discipline. Email idhr@mit.edu for more information. </w:t>
      </w:r>
    </w:p>
    <w:p w14:paraId="283984BD" w14:textId="77777777" w:rsidR="002A4A07" w:rsidRDefault="00E97162" w:rsidP="002A4A07">
      <w:pPr>
        <w:pStyle w:val="ListParagraph"/>
        <w:numPr>
          <w:ilvl w:val="0"/>
          <w:numId w:val="5"/>
        </w:numPr>
      </w:pPr>
      <w:r w:rsidRPr="00E97162">
        <w:t xml:space="preserve">PROTECTIVE ORDER: A court-issued order that can be enforced anywhere in the United States, no matter where you obtain this order. A violation of this order can result in criminal charges. MIT Police, IDHR, and Violence Prevention and Response (VPR) can provide information and support throughout this process. Once issued, MIT will also work with you to make any accommodations necessary. </w:t>
      </w:r>
    </w:p>
    <w:p w14:paraId="4CF01DA2" w14:textId="77777777" w:rsidR="002A4A07" w:rsidRDefault="002A4A07" w:rsidP="002A4A07"/>
    <w:p w14:paraId="78F1EF3A" w14:textId="24CFA4C0" w:rsidR="00E97162" w:rsidRPr="00E97162" w:rsidRDefault="00E97162" w:rsidP="002A4A07">
      <w:r w:rsidRPr="00E97162">
        <w:t>To discuss any information covered in this brochure further with a confidential resource, you can contact an advocate at Violence Prevention &amp; Response by calling 617-253-2300 or emailing vpradvocate@mit.edu.</w:t>
      </w:r>
    </w:p>
    <w:p w14:paraId="04693643" w14:textId="0ABB1064" w:rsidR="00E97162" w:rsidRDefault="00E97162" w:rsidP="00E97162"/>
    <w:p w14:paraId="7330D701" w14:textId="77777777" w:rsidR="00E97162" w:rsidRPr="00E97162" w:rsidRDefault="00E97162" w:rsidP="00E97162">
      <w:pPr>
        <w:rPr>
          <w:b/>
          <w:bCs/>
        </w:rPr>
      </w:pPr>
      <w:r w:rsidRPr="00E97162">
        <w:rPr>
          <w:b/>
          <w:bCs/>
        </w:rPr>
        <w:t>Response from MIT Police</w:t>
      </w:r>
    </w:p>
    <w:p w14:paraId="108A90DA" w14:textId="77777777" w:rsidR="002A4A07" w:rsidRDefault="00E97162" w:rsidP="002A4A07">
      <w:pPr>
        <w:pStyle w:val="ListParagraph"/>
        <w:numPr>
          <w:ilvl w:val="0"/>
          <w:numId w:val="9"/>
        </w:numPr>
      </w:pPr>
      <w:r w:rsidRPr="00E97162">
        <w:t xml:space="preserve">We will not release your name to the public or press. This information is protected by Massachusetts Law. Crime statistics are made public but no personally identifying information is shared. This includes timely warning bulletins that may be sent out. </w:t>
      </w:r>
    </w:p>
    <w:p w14:paraId="3012DD6D" w14:textId="77777777" w:rsidR="002A4A07" w:rsidRDefault="00E97162" w:rsidP="002A4A07">
      <w:pPr>
        <w:pStyle w:val="ListParagraph"/>
        <w:numPr>
          <w:ilvl w:val="0"/>
          <w:numId w:val="9"/>
        </w:numPr>
      </w:pPr>
      <w:r w:rsidRPr="00E97162">
        <w:t xml:space="preserve">Our officers will not judge you and you will not be blamed for what occurred. We will treat you with courtesy, sensitivity, dignity, understanding, and professionalism. </w:t>
      </w:r>
    </w:p>
    <w:p w14:paraId="4A423DC8" w14:textId="77777777" w:rsidR="002A4A07" w:rsidRDefault="00E97162" w:rsidP="002A4A07">
      <w:pPr>
        <w:pStyle w:val="ListParagraph"/>
        <w:numPr>
          <w:ilvl w:val="0"/>
          <w:numId w:val="9"/>
        </w:numPr>
      </w:pPr>
      <w:r w:rsidRPr="00E97162">
        <w:t xml:space="preserve">If you have a preference for either a male or female officer, we will do our best to accommodate your request. </w:t>
      </w:r>
    </w:p>
    <w:p w14:paraId="45C1FE76" w14:textId="77777777" w:rsidR="002A4A07" w:rsidRDefault="00E97162" w:rsidP="002A4A07">
      <w:pPr>
        <w:pStyle w:val="ListParagraph"/>
        <w:numPr>
          <w:ilvl w:val="0"/>
          <w:numId w:val="9"/>
        </w:numPr>
      </w:pPr>
      <w:r w:rsidRPr="00E97162">
        <w:t xml:space="preserve">We will assist you in receiving hospital, medical, counseling, and other support services even if you choose not to pursue criminal charges. </w:t>
      </w:r>
    </w:p>
    <w:p w14:paraId="3BB3DE33" w14:textId="0C161220" w:rsidR="00E97162" w:rsidRPr="00E97162" w:rsidRDefault="00E97162" w:rsidP="002A4A07">
      <w:pPr>
        <w:pStyle w:val="ListParagraph"/>
        <w:numPr>
          <w:ilvl w:val="0"/>
          <w:numId w:val="9"/>
        </w:numPr>
      </w:pPr>
      <w:r w:rsidRPr="00E97162">
        <w:t>We will consider your case seriously, regardless of your gender and/or sexual orientation and that of the suspect(s).</w:t>
      </w:r>
    </w:p>
    <w:p w14:paraId="4E955778" w14:textId="77777777" w:rsidR="002A4A07" w:rsidRDefault="002A4A07" w:rsidP="00E97162"/>
    <w:p w14:paraId="7D3D27CF" w14:textId="77777777" w:rsidR="002A4A07" w:rsidRPr="002A4A07" w:rsidRDefault="00E97162" w:rsidP="00E97162">
      <w:pPr>
        <w:rPr>
          <w:b/>
          <w:bCs/>
        </w:rPr>
      </w:pPr>
      <w:r w:rsidRPr="00E97162">
        <w:rPr>
          <w:b/>
          <w:bCs/>
        </w:rPr>
        <w:t xml:space="preserve">HOW TO CONTACT THE POLICE (24/7) </w:t>
      </w:r>
    </w:p>
    <w:p w14:paraId="186FBCAE" w14:textId="77777777" w:rsidR="002A4A07" w:rsidRDefault="00E97162" w:rsidP="00E97162">
      <w:r w:rsidRPr="00E97162">
        <w:t xml:space="preserve">MIT Police: 617-253-1212 </w:t>
      </w:r>
    </w:p>
    <w:p w14:paraId="2CB749A2" w14:textId="77777777" w:rsidR="002A4A07" w:rsidRDefault="00E97162" w:rsidP="00E97162">
      <w:r w:rsidRPr="00E97162">
        <w:t xml:space="preserve">Campus Phone: 100 </w:t>
      </w:r>
    </w:p>
    <w:p w14:paraId="5E84A538" w14:textId="77777777" w:rsidR="002A4A07" w:rsidRDefault="00E97162" w:rsidP="00E97162">
      <w:r w:rsidRPr="00E97162">
        <w:t xml:space="preserve">Cambridge Police: 617-349-3300 </w:t>
      </w:r>
    </w:p>
    <w:p w14:paraId="700C8054" w14:textId="0E90A7DE" w:rsidR="00E97162" w:rsidRPr="00E97162" w:rsidRDefault="00E97162" w:rsidP="00E97162">
      <w:r w:rsidRPr="00E97162">
        <w:t xml:space="preserve">Boston </w:t>
      </w:r>
      <w:proofErr w:type="gramStart"/>
      <w:r w:rsidRPr="00E97162">
        <w:t>Police :</w:t>
      </w:r>
      <w:proofErr w:type="gramEnd"/>
      <w:r w:rsidRPr="00E97162">
        <w:t xml:space="preserve"> 617-343-4500</w:t>
      </w:r>
    </w:p>
    <w:p w14:paraId="457079CF" w14:textId="77777777" w:rsidR="00E97162" w:rsidRPr="00E97162" w:rsidRDefault="00E97162" w:rsidP="00E97162"/>
    <w:p w14:paraId="7C05B05F" w14:textId="722EB3ED" w:rsidR="00E97162" w:rsidRDefault="00E97162" w:rsidP="00E97162"/>
    <w:p w14:paraId="04B98250" w14:textId="77777777" w:rsidR="00E97162" w:rsidRPr="00E97162" w:rsidRDefault="00E97162" w:rsidP="00E97162"/>
    <w:p w14:paraId="67DFB3D7" w14:textId="77777777" w:rsidR="00E97162" w:rsidRDefault="00E97162"/>
    <w:sectPr w:rsidR="00E97162" w:rsidSect="008F5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31C91"/>
    <w:multiLevelType w:val="hybridMultilevel"/>
    <w:tmpl w:val="2E64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306C3"/>
    <w:multiLevelType w:val="hybridMultilevel"/>
    <w:tmpl w:val="1758D0F2"/>
    <w:lvl w:ilvl="0" w:tplc="79F667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E7B78"/>
    <w:multiLevelType w:val="hybridMultilevel"/>
    <w:tmpl w:val="04966FF8"/>
    <w:lvl w:ilvl="0" w:tplc="79F667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649DE"/>
    <w:multiLevelType w:val="hybridMultilevel"/>
    <w:tmpl w:val="08120318"/>
    <w:lvl w:ilvl="0" w:tplc="79F667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80E7B"/>
    <w:multiLevelType w:val="hybridMultilevel"/>
    <w:tmpl w:val="757463D8"/>
    <w:lvl w:ilvl="0" w:tplc="79F667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F4D47"/>
    <w:multiLevelType w:val="hybridMultilevel"/>
    <w:tmpl w:val="A9EEBD6E"/>
    <w:lvl w:ilvl="0" w:tplc="79F667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486578"/>
    <w:multiLevelType w:val="hybridMultilevel"/>
    <w:tmpl w:val="106A37CA"/>
    <w:lvl w:ilvl="0" w:tplc="79F667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E568CF"/>
    <w:multiLevelType w:val="hybridMultilevel"/>
    <w:tmpl w:val="368AB958"/>
    <w:lvl w:ilvl="0" w:tplc="79F667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8634AD"/>
    <w:multiLevelType w:val="hybridMultilevel"/>
    <w:tmpl w:val="ECBEC05E"/>
    <w:lvl w:ilvl="0" w:tplc="79F6677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7"/>
  </w:num>
  <w:num w:numId="5">
    <w:abstractNumId w:val="2"/>
  </w:num>
  <w:num w:numId="6">
    <w:abstractNumId w:val="3"/>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162"/>
    <w:rsid w:val="000E4CA7"/>
    <w:rsid w:val="002A4A07"/>
    <w:rsid w:val="008F57C4"/>
    <w:rsid w:val="00B529C4"/>
    <w:rsid w:val="00E666DA"/>
    <w:rsid w:val="00E97162"/>
    <w:rsid w:val="00F03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8408C5"/>
  <w15:chartTrackingRefBased/>
  <w15:docId w15:val="{0E0AC2A7-8A73-BA42-90C2-AB088311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162"/>
    <w:rPr>
      <w:color w:val="0563C1" w:themeColor="hyperlink"/>
      <w:u w:val="single"/>
    </w:rPr>
  </w:style>
  <w:style w:type="character" w:styleId="UnresolvedMention">
    <w:name w:val="Unresolved Mention"/>
    <w:basedOn w:val="DefaultParagraphFont"/>
    <w:uiPriority w:val="99"/>
    <w:semiHidden/>
    <w:unhideWhenUsed/>
    <w:rsid w:val="00E97162"/>
    <w:rPr>
      <w:color w:val="605E5C"/>
      <w:shd w:val="clear" w:color="auto" w:fill="E1DFDD"/>
    </w:rPr>
  </w:style>
  <w:style w:type="paragraph" w:styleId="ListParagraph">
    <w:name w:val="List Paragraph"/>
    <w:basedOn w:val="Normal"/>
    <w:uiPriority w:val="34"/>
    <w:qFormat/>
    <w:rsid w:val="002A4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8531">
      <w:bodyDiv w:val="1"/>
      <w:marLeft w:val="0"/>
      <w:marRight w:val="0"/>
      <w:marTop w:val="0"/>
      <w:marBottom w:val="0"/>
      <w:divBdr>
        <w:top w:val="none" w:sz="0" w:space="0" w:color="auto"/>
        <w:left w:val="none" w:sz="0" w:space="0" w:color="auto"/>
        <w:bottom w:val="none" w:sz="0" w:space="0" w:color="auto"/>
        <w:right w:val="none" w:sz="0" w:space="0" w:color="auto"/>
      </w:divBdr>
    </w:div>
    <w:div w:id="89933371">
      <w:bodyDiv w:val="1"/>
      <w:marLeft w:val="0"/>
      <w:marRight w:val="0"/>
      <w:marTop w:val="0"/>
      <w:marBottom w:val="0"/>
      <w:divBdr>
        <w:top w:val="none" w:sz="0" w:space="0" w:color="auto"/>
        <w:left w:val="none" w:sz="0" w:space="0" w:color="auto"/>
        <w:bottom w:val="none" w:sz="0" w:space="0" w:color="auto"/>
        <w:right w:val="none" w:sz="0" w:space="0" w:color="auto"/>
      </w:divBdr>
    </w:div>
    <w:div w:id="121076602">
      <w:bodyDiv w:val="1"/>
      <w:marLeft w:val="0"/>
      <w:marRight w:val="0"/>
      <w:marTop w:val="0"/>
      <w:marBottom w:val="0"/>
      <w:divBdr>
        <w:top w:val="none" w:sz="0" w:space="0" w:color="auto"/>
        <w:left w:val="none" w:sz="0" w:space="0" w:color="auto"/>
        <w:bottom w:val="none" w:sz="0" w:space="0" w:color="auto"/>
        <w:right w:val="none" w:sz="0" w:space="0" w:color="auto"/>
      </w:divBdr>
    </w:div>
    <w:div w:id="204026645">
      <w:bodyDiv w:val="1"/>
      <w:marLeft w:val="0"/>
      <w:marRight w:val="0"/>
      <w:marTop w:val="0"/>
      <w:marBottom w:val="0"/>
      <w:divBdr>
        <w:top w:val="none" w:sz="0" w:space="0" w:color="auto"/>
        <w:left w:val="none" w:sz="0" w:space="0" w:color="auto"/>
        <w:bottom w:val="none" w:sz="0" w:space="0" w:color="auto"/>
        <w:right w:val="none" w:sz="0" w:space="0" w:color="auto"/>
      </w:divBdr>
    </w:div>
    <w:div w:id="329984192">
      <w:bodyDiv w:val="1"/>
      <w:marLeft w:val="0"/>
      <w:marRight w:val="0"/>
      <w:marTop w:val="0"/>
      <w:marBottom w:val="0"/>
      <w:divBdr>
        <w:top w:val="none" w:sz="0" w:space="0" w:color="auto"/>
        <w:left w:val="none" w:sz="0" w:space="0" w:color="auto"/>
        <w:bottom w:val="none" w:sz="0" w:space="0" w:color="auto"/>
        <w:right w:val="none" w:sz="0" w:space="0" w:color="auto"/>
      </w:divBdr>
    </w:div>
    <w:div w:id="586109800">
      <w:bodyDiv w:val="1"/>
      <w:marLeft w:val="0"/>
      <w:marRight w:val="0"/>
      <w:marTop w:val="0"/>
      <w:marBottom w:val="0"/>
      <w:divBdr>
        <w:top w:val="none" w:sz="0" w:space="0" w:color="auto"/>
        <w:left w:val="none" w:sz="0" w:space="0" w:color="auto"/>
        <w:bottom w:val="none" w:sz="0" w:space="0" w:color="auto"/>
        <w:right w:val="none" w:sz="0" w:space="0" w:color="auto"/>
      </w:divBdr>
    </w:div>
    <w:div w:id="591747180">
      <w:bodyDiv w:val="1"/>
      <w:marLeft w:val="0"/>
      <w:marRight w:val="0"/>
      <w:marTop w:val="0"/>
      <w:marBottom w:val="0"/>
      <w:divBdr>
        <w:top w:val="none" w:sz="0" w:space="0" w:color="auto"/>
        <w:left w:val="none" w:sz="0" w:space="0" w:color="auto"/>
        <w:bottom w:val="none" w:sz="0" w:space="0" w:color="auto"/>
        <w:right w:val="none" w:sz="0" w:space="0" w:color="auto"/>
      </w:divBdr>
    </w:div>
    <w:div w:id="908684892">
      <w:bodyDiv w:val="1"/>
      <w:marLeft w:val="0"/>
      <w:marRight w:val="0"/>
      <w:marTop w:val="0"/>
      <w:marBottom w:val="0"/>
      <w:divBdr>
        <w:top w:val="none" w:sz="0" w:space="0" w:color="auto"/>
        <w:left w:val="none" w:sz="0" w:space="0" w:color="auto"/>
        <w:bottom w:val="none" w:sz="0" w:space="0" w:color="auto"/>
        <w:right w:val="none" w:sz="0" w:space="0" w:color="auto"/>
      </w:divBdr>
    </w:div>
    <w:div w:id="914775700">
      <w:bodyDiv w:val="1"/>
      <w:marLeft w:val="0"/>
      <w:marRight w:val="0"/>
      <w:marTop w:val="0"/>
      <w:marBottom w:val="0"/>
      <w:divBdr>
        <w:top w:val="none" w:sz="0" w:space="0" w:color="auto"/>
        <w:left w:val="none" w:sz="0" w:space="0" w:color="auto"/>
        <w:bottom w:val="none" w:sz="0" w:space="0" w:color="auto"/>
        <w:right w:val="none" w:sz="0" w:space="0" w:color="auto"/>
      </w:divBdr>
    </w:div>
    <w:div w:id="969433499">
      <w:bodyDiv w:val="1"/>
      <w:marLeft w:val="0"/>
      <w:marRight w:val="0"/>
      <w:marTop w:val="0"/>
      <w:marBottom w:val="0"/>
      <w:divBdr>
        <w:top w:val="none" w:sz="0" w:space="0" w:color="auto"/>
        <w:left w:val="none" w:sz="0" w:space="0" w:color="auto"/>
        <w:bottom w:val="none" w:sz="0" w:space="0" w:color="auto"/>
        <w:right w:val="none" w:sz="0" w:space="0" w:color="auto"/>
      </w:divBdr>
    </w:div>
    <w:div w:id="1007295366">
      <w:bodyDiv w:val="1"/>
      <w:marLeft w:val="0"/>
      <w:marRight w:val="0"/>
      <w:marTop w:val="0"/>
      <w:marBottom w:val="0"/>
      <w:divBdr>
        <w:top w:val="none" w:sz="0" w:space="0" w:color="auto"/>
        <w:left w:val="none" w:sz="0" w:space="0" w:color="auto"/>
        <w:bottom w:val="none" w:sz="0" w:space="0" w:color="auto"/>
        <w:right w:val="none" w:sz="0" w:space="0" w:color="auto"/>
      </w:divBdr>
    </w:div>
    <w:div w:id="1071122311">
      <w:bodyDiv w:val="1"/>
      <w:marLeft w:val="0"/>
      <w:marRight w:val="0"/>
      <w:marTop w:val="0"/>
      <w:marBottom w:val="0"/>
      <w:divBdr>
        <w:top w:val="none" w:sz="0" w:space="0" w:color="auto"/>
        <w:left w:val="none" w:sz="0" w:space="0" w:color="auto"/>
        <w:bottom w:val="none" w:sz="0" w:space="0" w:color="auto"/>
        <w:right w:val="none" w:sz="0" w:space="0" w:color="auto"/>
      </w:divBdr>
    </w:div>
    <w:div w:id="1322082557">
      <w:bodyDiv w:val="1"/>
      <w:marLeft w:val="0"/>
      <w:marRight w:val="0"/>
      <w:marTop w:val="0"/>
      <w:marBottom w:val="0"/>
      <w:divBdr>
        <w:top w:val="none" w:sz="0" w:space="0" w:color="auto"/>
        <w:left w:val="none" w:sz="0" w:space="0" w:color="auto"/>
        <w:bottom w:val="none" w:sz="0" w:space="0" w:color="auto"/>
        <w:right w:val="none" w:sz="0" w:space="0" w:color="auto"/>
      </w:divBdr>
    </w:div>
    <w:div w:id="1339193272">
      <w:bodyDiv w:val="1"/>
      <w:marLeft w:val="0"/>
      <w:marRight w:val="0"/>
      <w:marTop w:val="0"/>
      <w:marBottom w:val="0"/>
      <w:divBdr>
        <w:top w:val="none" w:sz="0" w:space="0" w:color="auto"/>
        <w:left w:val="none" w:sz="0" w:space="0" w:color="auto"/>
        <w:bottom w:val="none" w:sz="0" w:space="0" w:color="auto"/>
        <w:right w:val="none" w:sz="0" w:space="0" w:color="auto"/>
      </w:divBdr>
    </w:div>
    <w:div w:id="1346206077">
      <w:bodyDiv w:val="1"/>
      <w:marLeft w:val="0"/>
      <w:marRight w:val="0"/>
      <w:marTop w:val="0"/>
      <w:marBottom w:val="0"/>
      <w:divBdr>
        <w:top w:val="none" w:sz="0" w:space="0" w:color="auto"/>
        <w:left w:val="none" w:sz="0" w:space="0" w:color="auto"/>
        <w:bottom w:val="none" w:sz="0" w:space="0" w:color="auto"/>
        <w:right w:val="none" w:sz="0" w:space="0" w:color="auto"/>
      </w:divBdr>
    </w:div>
    <w:div w:id="1366635725">
      <w:bodyDiv w:val="1"/>
      <w:marLeft w:val="0"/>
      <w:marRight w:val="0"/>
      <w:marTop w:val="0"/>
      <w:marBottom w:val="0"/>
      <w:divBdr>
        <w:top w:val="none" w:sz="0" w:space="0" w:color="auto"/>
        <w:left w:val="none" w:sz="0" w:space="0" w:color="auto"/>
        <w:bottom w:val="none" w:sz="0" w:space="0" w:color="auto"/>
        <w:right w:val="none" w:sz="0" w:space="0" w:color="auto"/>
      </w:divBdr>
    </w:div>
    <w:div w:id="1399859961">
      <w:bodyDiv w:val="1"/>
      <w:marLeft w:val="0"/>
      <w:marRight w:val="0"/>
      <w:marTop w:val="0"/>
      <w:marBottom w:val="0"/>
      <w:divBdr>
        <w:top w:val="none" w:sz="0" w:space="0" w:color="auto"/>
        <w:left w:val="none" w:sz="0" w:space="0" w:color="auto"/>
        <w:bottom w:val="none" w:sz="0" w:space="0" w:color="auto"/>
        <w:right w:val="none" w:sz="0" w:space="0" w:color="auto"/>
      </w:divBdr>
    </w:div>
    <w:div w:id="1427384816">
      <w:bodyDiv w:val="1"/>
      <w:marLeft w:val="0"/>
      <w:marRight w:val="0"/>
      <w:marTop w:val="0"/>
      <w:marBottom w:val="0"/>
      <w:divBdr>
        <w:top w:val="none" w:sz="0" w:space="0" w:color="auto"/>
        <w:left w:val="none" w:sz="0" w:space="0" w:color="auto"/>
        <w:bottom w:val="none" w:sz="0" w:space="0" w:color="auto"/>
        <w:right w:val="none" w:sz="0" w:space="0" w:color="auto"/>
      </w:divBdr>
    </w:div>
    <w:div w:id="1500267916">
      <w:bodyDiv w:val="1"/>
      <w:marLeft w:val="0"/>
      <w:marRight w:val="0"/>
      <w:marTop w:val="0"/>
      <w:marBottom w:val="0"/>
      <w:divBdr>
        <w:top w:val="none" w:sz="0" w:space="0" w:color="auto"/>
        <w:left w:val="none" w:sz="0" w:space="0" w:color="auto"/>
        <w:bottom w:val="none" w:sz="0" w:space="0" w:color="auto"/>
        <w:right w:val="none" w:sz="0" w:space="0" w:color="auto"/>
      </w:divBdr>
    </w:div>
    <w:div w:id="1515026082">
      <w:bodyDiv w:val="1"/>
      <w:marLeft w:val="0"/>
      <w:marRight w:val="0"/>
      <w:marTop w:val="0"/>
      <w:marBottom w:val="0"/>
      <w:divBdr>
        <w:top w:val="none" w:sz="0" w:space="0" w:color="auto"/>
        <w:left w:val="none" w:sz="0" w:space="0" w:color="auto"/>
        <w:bottom w:val="none" w:sz="0" w:space="0" w:color="auto"/>
        <w:right w:val="none" w:sz="0" w:space="0" w:color="auto"/>
      </w:divBdr>
    </w:div>
    <w:div w:id="1515807749">
      <w:bodyDiv w:val="1"/>
      <w:marLeft w:val="0"/>
      <w:marRight w:val="0"/>
      <w:marTop w:val="0"/>
      <w:marBottom w:val="0"/>
      <w:divBdr>
        <w:top w:val="none" w:sz="0" w:space="0" w:color="auto"/>
        <w:left w:val="none" w:sz="0" w:space="0" w:color="auto"/>
        <w:bottom w:val="none" w:sz="0" w:space="0" w:color="auto"/>
        <w:right w:val="none" w:sz="0" w:space="0" w:color="auto"/>
      </w:divBdr>
    </w:div>
    <w:div w:id="1728065762">
      <w:bodyDiv w:val="1"/>
      <w:marLeft w:val="0"/>
      <w:marRight w:val="0"/>
      <w:marTop w:val="0"/>
      <w:marBottom w:val="0"/>
      <w:divBdr>
        <w:top w:val="none" w:sz="0" w:space="0" w:color="auto"/>
        <w:left w:val="none" w:sz="0" w:space="0" w:color="auto"/>
        <w:bottom w:val="none" w:sz="0" w:space="0" w:color="auto"/>
        <w:right w:val="none" w:sz="0" w:space="0" w:color="auto"/>
      </w:divBdr>
    </w:div>
    <w:div w:id="1914512237">
      <w:bodyDiv w:val="1"/>
      <w:marLeft w:val="0"/>
      <w:marRight w:val="0"/>
      <w:marTop w:val="0"/>
      <w:marBottom w:val="0"/>
      <w:divBdr>
        <w:top w:val="none" w:sz="0" w:space="0" w:color="auto"/>
        <w:left w:val="none" w:sz="0" w:space="0" w:color="auto"/>
        <w:bottom w:val="none" w:sz="0" w:space="0" w:color="auto"/>
        <w:right w:val="none" w:sz="0" w:space="0" w:color="auto"/>
      </w:divBdr>
    </w:div>
    <w:div w:id="212461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dhr@mi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Mendoza</dc:creator>
  <cp:keywords/>
  <dc:description/>
  <cp:lastModifiedBy>Emilie Mendoza</cp:lastModifiedBy>
  <cp:revision>1</cp:revision>
  <dcterms:created xsi:type="dcterms:W3CDTF">2021-01-26T15:42:00Z</dcterms:created>
  <dcterms:modified xsi:type="dcterms:W3CDTF">2021-01-26T19:33:00Z</dcterms:modified>
</cp:coreProperties>
</file>