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F343" w14:textId="02DFEB7B" w:rsidR="00E238E8" w:rsidRPr="0013319C" w:rsidRDefault="006C5FAA" w:rsidP="00E238E8">
      <w:pPr>
        <w:rPr>
          <w:b/>
          <w:bCs/>
          <w:lang w:val="es-ES"/>
        </w:rPr>
      </w:pPr>
      <w:r w:rsidRPr="0013319C">
        <w:rPr>
          <w:b/>
          <w:bCs/>
          <w:lang w:val="es-ES"/>
        </w:rPr>
        <w:t xml:space="preserve">Recursos e Información sobre Discriminación y Acoso </w:t>
      </w:r>
      <w:r w:rsidR="00AE0CAF" w:rsidRPr="0013319C">
        <w:rPr>
          <w:b/>
          <w:bCs/>
          <w:lang w:val="es-ES"/>
        </w:rPr>
        <w:t xml:space="preserve">Discriminatorio </w:t>
      </w:r>
    </w:p>
    <w:p w14:paraId="69F819F4" w14:textId="36480BD0" w:rsidR="000E4CA7" w:rsidRPr="0013319C" w:rsidRDefault="000E4CA7">
      <w:pPr>
        <w:rPr>
          <w:lang w:val="es-ES"/>
        </w:rPr>
      </w:pPr>
    </w:p>
    <w:p w14:paraId="46F60944" w14:textId="5111CF18" w:rsidR="00E238E8" w:rsidRPr="0013319C" w:rsidRDefault="00AE0CAF" w:rsidP="00E238E8">
      <w:pPr>
        <w:rPr>
          <w:b/>
          <w:bCs/>
          <w:lang w:val="es-ES"/>
        </w:rPr>
      </w:pPr>
      <w:r w:rsidRPr="0013319C">
        <w:rPr>
          <w:b/>
          <w:bCs/>
          <w:lang w:val="es-ES"/>
        </w:rPr>
        <w:t>¿Qué recursos están disponibles</w:t>
      </w:r>
      <w:r w:rsidR="00E238E8" w:rsidRPr="0013319C">
        <w:rPr>
          <w:b/>
          <w:bCs/>
          <w:lang w:val="es-ES"/>
        </w:rPr>
        <w:t>?</w:t>
      </w:r>
    </w:p>
    <w:p w14:paraId="04FA05E7" w14:textId="6E5BB55C" w:rsidR="00E238E8" w:rsidRPr="0013319C" w:rsidRDefault="00E238E8">
      <w:pPr>
        <w:rPr>
          <w:lang w:val="es-ES"/>
        </w:rPr>
      </w:pPr>
    </w:p>
    <w:p w14:paraId="3DCC0FB7" w14:textId="747A9B91" w:rsidR="00E238E8" w:rsidRPr="0013319C" w:rsidRDefault="00AE0CAF" w:rsidP="00E238E8">
      <w:pPr>
        <w:rPr>
          <w:b/>
          <w:bCs/>
          <w:lang w:val="es-ES"/>
        </w:rPr>
      </w:pPr>
      <w:r w:rsidRPr="0013319C">
        <w:rPr>
          <w:b/>
          <w:bCs/>
          <w:lang w:val="es-ES"/>
        </w:rPr>
        <w:t>Recursos para Empleados en el Campus</w:t>
      </w:r>
    </w:p>
    <w:p w14:paraId="2EE2D4C3" w14:textId="77777777" w:rsidR="00EB5AD0" w:rsidRPr="0013319C" w:rsidRDefault="00EB5AD0" w:rsidP="00E238E8">
      <w:pPr>
        <w:rPr>
          <w:lang w:val="es-ES"/>
        </w:rPr>
      </w:pPr>
    </w:p>
    <w:p w14:paraId="4D5DA2EC" w14:textId="07833E1E" w:rsidR="00E238E8" w:rsidRPr="0013319C" w:rsidRDefault="00AE0CAF" w:rsidP="00E238E8">
      <w:pPr>
        <w:rPr>
          <w:lang w:val="es-ES"/>
        </w:rPr>
      </w:pPr>
      <w:r w:rsidRPr="0013319C">
        <w:rPr>
          <w:lang w:val="es-ES"/>
        </w:rPr>
        <w:t>Recursos Privados</w:t>
      </w:r>
      <w:r w:rsidR="00E238E8" w:rsidRPr="0013319C">
        <w:rPr>
          <w:lang w:val="es-ES"/>
        </w:rPr>
        <w:t xml:space="preserve">* </w:t>
      </w:r>
    </w:p>
    <w:p w14:paraId="1F73008F" w14:textId="43E95F09" w:rsidR="00EB5AD0" w:rsidRPr="0013319C" w:rsidRDefault="00E84BB6" w:rsidP="00EB5AD0">
      <w:pPr>
        <w:pStyle w:val="ListParagraph"/>
        <w:numPr>
          <w:ilvl w:val="0"/>
          <w:numId w:val="12"/>
        </w:numPr>
        <w:rPr>
          <w:lang w:val="es-ES"/>
        </w:rPr>
      </w:pPr>
      <w:r w:rsidRPr="0013319C">
        <w:rPr>
          <w:lang w:val="es-ES"/>
        </w:rPr>
        <w:t xml:space="preserve">Oficina </w:t>
      </w:r>
      <w:r w:rsidR="004466A7" w:rsidRPr="0013319C">
        <w:rPr>
          <w:lang w:val="es-ES"/>
        </w:rPr>
        <w:t xml:space="preserve">Institucional </w:t>
      </w:r>
      <w:r w:rsidRPr="0013319C">
        <w:rPr>
          <w:lang w:val="es-ES"/>
        </w:rPr>
        <w:t>de</w:t>
      </w:r>
      <w:r w:rsidR="00C160EE" w:rsidRPr="0013319C">
        <w:rPr>
          <w:lang w:val="es-ES"/>
        </w:rPr>
        <w:t xml:space="preserve"> Respuesta </w:t>
      </w:r>
      <w:r w:rsidRPr="0013319C">
        <w:rPr>
          <w:lang w:val="es-ES"/>
        </w:rPr>
        <w:t>a la Discri</w:t>
      </w:r>
      <w:r w:rsidR="00B4145A" w:rsidRPr="0013319C">
        <w:rPr>
          <w:lang w:val="es-ES"/>
        </w:rPr>
        <w:t>m</w:t>
      </w:r>
      <w:r w:rsidRPr="0013319C">
        <w:rPr>
          <w:lang w:val="es-ES"/>
        </w:rPr>
        <w:t xml:space="preserve">inación y Acoso </w:t>
      </w:r>
      <w:r w:rsidR="00B4145A" w:rsidRPr="0013319C">
        <w:rPr>
          <w:lang w:val="es-ES"/>
        </w:rPr>
        <w:t>(</w:t>
      </w:r>
      <w:r w:rsidR="00E238E8" w:rsidRPr="0013319C">
        <w:rPr>
          <w:lang w:val="es-ES"/>
        </w:rPr>
        <w:t>IDHR</w:t>
      </w:r>
      <w:r w:rsidR="00B4145A" w:rsidRPr="0013319C">
        <w:rPr>
          <w:lang w:val="es-ES"/>
        </w:rPr>
        <w:t>)</w:t>
      </w:r>
    </w:p>
    <w:p w14:paraId="209A19ED" w14:textId="56E2C43C" w:rsidR="00EB5AD0" w:rsidRPr="0013319C" w:rsidRDefault="00D21916" w:rsidP="00EB5AD0">
      <w:pPr>
        <w:pStyle w:val="ListParagraph"/>
        <w:numPr>
          <w:ilvl w:val="0"/>
          <w:numId w:val="12"/>
        </w:numPr>
        <w:rPr>
          <w:lang w:val="es-ES"/>
        </w:rPr>
      </w:pPr>
      <w:r w:rsidRPr="0013319C">
        <w:rPr>
          <w:lang w:val="es-ES"/>
        </w:rPr>
        <w:t xml:space="preserve">Gestores y Supervisores de Contacto de RR.HH. de </w:t>
      </w:r>
      <w:r w:rsidR="00E238E8" w:rsidRPr="0013319C">
        <w:rPr>
          <w:lang w:val="es-ES"/>
        </w:rPr>
        <w:t xml:space="preserve">DLC </w:t>
      </w:r>
    </w:p>
    <w:p w14:paraId="5D1B9597" w14:textId="6AEFB608" w:rsidR="00E238E8" w:rsidRPr="0013319C" w:rsidRDefault="00525CF9" w:rsidP="00EB5AD0">
      <w:pPr>
        <w:pStyle w:val="ListParagraph"/>
        <w:numPr>
          <w:ilvl w:val="0"/>
          <w:numId w:val="12"/>
        </w:numPr>
        <w:rPr>
          <w:lang w:val="es-ES"/>
        </w:rPr>
      </w:pPr>
      <w:r w:rsidRPr="0013319C">
        <w:rPr>
          <w:lang w:val="es-ES"/>
        </w:rPr>
        <w:t>Agente de Recursos Humanos (</w:t>
      </w:r>
      <w:r w:rsidR="00E238E8" w:rsidRPr="0013319C">
        <w:rPr>
          <w:lang w:val="es-ES"/>
        </w:rPr>
        <w:t>HRO</w:t>
      </w:r>
      <w:r w:rsidRPr="0013319C">
        <w:rPr>
          <w:lang w:val="es-ES"/>
        </w:rPr>
        <w:t>)</w:t>
      </w:r>
      <w:r w:rsidR="00E238E8" w:rsidRPr="0013319C">
        <w:rPr>
          <w:lang w:val="es-ES"/>
        </w:rPr>
        <w:t xml:space="preserve"> </w:t>
      </w:r>
      <w:r w:rsidRPr="0013319C">
        <w:rPr>
          <w:lang w:val="es-ES"/>
        </w:rPr>
        <w:t>en la Oficina Central de RR.HH.</w:t>
      </w:r>
      <w:r w:rsidR="00E238E8" w:rsidRPr="0013319C">
        <w:rPr>
          <w:lang w:val="es-ES"/>
        </w:rPr>
        <w:t xml:space="preserve"> </w:t>
      </w:r>
    </w:p>
    <w:p w14:paraId="10DA2279" w14:textId="77777777" w:rsidR="00EB5AD0" w:rsidRPr="0013319C" w:rsidRDefault="00EB5AD0" w:rsidP="00EB5AD0">
      <w:pPr>
        <w:rPr>
          <w:lang w:val="es-ES"/>
        </w:rPr>
      </w:pPr>
    </w:p>
    <w:p w14:paraId="5CC991CD" w14:textId="170DA90D" w:rsidR="00EB5AD0" w:rsidRPr="0013319C" w:rsidRDefault="00055571" w:rsidP="00EB5AD0">
      <w:pPr>
        <w:rPr>
          <w:lang w:val="es-ES"/>
        </w:rPr>
      </w:pPr>
      <w:r w:rsidRPr="0013319C">
        <w:rPr>
          <w:lang w:val="es-ES"/>
        </w:rPr>
        <w:t>Recursos Confidenciales</w:t>
      </w:r>
      <w:r w:rsidR="00EB5AD0" w:rsidRPr="0013319C">
        <w:rPr>
          <w:lang w:val="es-ES"/>
        </w:rPr>
        <w:t xml:space="preserve"> </w:t>
      </w:r>
    </w:p>
    <w:p w14:paraId="00C44630" w14:textId="5CFAAF5E" w:rsidR="00EB5AD0" w:rsidRPr="0013319C" w:rsidRDefault="00E238E8" w:rsidP="00EB5AD0">
      <w:pPr>
        <w:pStyle w:val="ListParagraph"/>
        <w:numPr>
          <w:ilvl w:val="0"/>
          <w:numId w:val="13"/>
        </w:numPr>
        <w:rPr>
          <w:lang w:val="es-ES"/>
        </w:rPr>
      </w:pPr>
      <w:r w:rsidRPr="0013319C">
        <w:rPr>
          <w:lang w:val="es-ES"/>
        </w:rPr>
        <w:t>Ombuds</w:t>
      </w:r>
      <w:r w:rsidR="00071D20">
        <w:rPr>
          <w:lang w:val="es-ES"/>
        </w:rPr>
        <w:t>man</w:t>
      </w:r>
      <w:r w:rsidRPr="0013319C">
        <w:rPr>
          <w:lang w:val="es-ES"/>
        </w:rPr>
        <w:t xml:space="preserve">: 617-253-5921 </w:t>
      </w:r>
    </w:p>
    <w:p w14:paraId="227D7C00" w14:textId="4EDA9D9D" w:rsidR="00EB5AD0" w:rsidRPr="0013319C" w:rsidRDefault="00B057C2" w:rsidP="00EB5AD0">
      <w:pPr>
        <w:pStyle w:val="ListParagraph"/>
        <w:numPr>
          <w:ilvl w:val="0"/>
          <w:numId w:val="13"/>
        </w:numPr>
        <w:rPr>
          <w:lang w:val="es-ES"/>
        </w:rPr>
      </w:pPr>
      <w:r w:rsidRPr="0013319C">
        <w:rPr>
          <w:lang w:val="es-ES"/>
        </w:rPr>
        <w:t xml:space="preserve">Servicios </w:t>
      </w:r>
      <w:proofErr w:type="spellStart"/>
      <w:r w:rsidR="00E238E8" w:rsidRPr="0013319C">
        <w:rPr>
          <w:lang w:val="es-ES"/>
        </w:rPr>
        <w:t>MyLife</w:t>
      </w:r>
      <w:proofErr w:type="spellEnd"/>
      <w:r w:rsidR="00E238E8" w:rsidRPr="0013319C">
        <w:rPr>
          <w:lang w:val="es-ES"/>
        </w:rPr>
        <w:t xml:space="preserve">: </w:t>
      </w:r>
      <w:r w:rsidR="00AE2A74" w:rsidRPr="0013319C">
        <w:rPr>
          <w:lang w:val="es-ES"/>
        </w:rPr>
        <w:t>844-405-LIFE</w:t>
      </w:r>
    </w:p>
    <w:p w14:paraId="46798DBF" w14:textId="11E665C3" w:rsidR="00E238E8" w:rsidRPr="0013319C" w:rsidRDefault="00EA5570" w:rsidP="00EB5AD0">
      <w:pPr>
        <w:pStyle w:val="ListParagraph"/>
        <w:numPr>
          <w:ilvl w:val="0"/>
          <w:numId w:val="13"/>
        </w:numPr>
        <w:rPr>
          <w:lang w:val="es-ES"/>
        </w:rPr>
      </w:pPr>
      <w:r w:rsidRPr="0013319C">
        <w:rPr>
          <w:lang w:val="es-ES"/>
        </w:rPr>
        <w:t>Capellanes de</w:t>
      </w:r>
      <w:r w:rsidR="00E238E8" w:rsidRPr="0013319C">
        <w:rPr>
          <w:lang w:val="es-ES"/>
        </w:rPr>
        <w:t>: 617-253-7707</w:t>
      </w:r>
    </w:p>
    <w:p w14:paraId="309C7134" w14:textId="77777777" w:rsidR="00EB5AD0" w:rsidRPr="0013319C" w:rsidRDefault="00EB5AD0" w:rsidP="00E238E8">
      <w:pPr>
        <w:rPr>
          <w:lang w:val="es-ES"/>
        </w:rPr>
      </w:pPr>
    </w:p>
    <w:p w14:paraId="6F18887E" w14:textId="68BA6357" w:rsidR="00E238E8" w:rsidRPr="0013319C" w:rsidRDefault="00E238E8" w:rsidP="00E238E8">
      <w:pPr>
        <w:rPr>
          <w:lang w:val="es-ES"/>
        </w:rPr>
      </w:pPr>
      <w:r w:rsidRPr="0013319C">
        <w:rPr>
          <w:lang w:val="es-ES"/>
        </w:rPr>
        <w:t xml:space="preserve">* </w:t>
      </w:r>
      <w:r w:rsidR="008F0C92" w:rsidRPr="0013319C">
        <w:rPr>
          <w:lang w:val="es-ES"/>
        </w:rPr>
        <w:t xml:space="preserve">Si un empleado habla con un recurso privado (también conocido como Empleado Responsable) sobre cualquier </w:t>
      </w:r>
      <w:r w:rsidR="0041067B" w:rsidRPr="0013319C">
        <w:rPr>
          <w:lang w:val="es-ES"/>
        </w:rPr>
        <w:t xml:space="preserve">forma de discriminación o acoso discriminatorio, </w:t>
      </w:r>
      <w:r w:rsidR="00EC3972">
        <w:rPr>
          <w:lang w:val="es-ES"/>
        </w:rPr>
        <w:t xml:space="preserve">éste </w:t>
      </w:r>
      <w:r w:rsidR="00542150">
        <w:rPr>
          <w:lang w:val="es-ES"/>
        </w:rPr>
        <w:t xml:space="preserve">último </w:t>
      </w:r>
      <w:r w:rsidR="00C317B3">
        <w:rPr>
          <w:lang w:val="es-ES"/>
        </w:rPr>
        <w:t>será responsable</w:t>
      </w:r>
      <w:r w:rsidR="0041067B" w:rsidRPr="0013319C">
        <w:rPr>
          <w:lang w:val="es-ES"/>
        </w:rPr>
        <w:t xml:space="preserve"> de informar a </w:t>
      </w:r>
      <w:r w:rsidRPr="0013319C">
        <w:rPr>
          <w:lang w:val="es-ES"/>
        </w:rPr>
        <w:t xml:space="preserve">IDHR </w:t>
      </w:r>
      <w:r w:rsidR="0041067B" w:rsidRPr="0013319C">
        <w:rPr>
          <w:lang w:val="es-ES"/>
        </w:rPr>
        <w:t>sobre el incidente</w:t>
      </w:r>
      <w:r w:rsidRPr="0013319C">
        <w:rPr>
          <w:lang w:val="es-ES"/>
        </w:rPr>
        <w:t xml:space="preserve">. </w:t>
      </w:r>
      <w:r w:rsidR="0041067B" w:rsidRPr="0013319C">
        <w:rPr>
          <w:lang w:val="es-ES"/>
        </w:rPr>
        <w:t xml:space="preserve">El Personal de </w:t>
      </w:r>
      <w:r w:rsidRPr="0013319C">
        <w:rPr>
          <w:lang w:val="es-ES"/>
        </w:rPr>
        <w:t xml:space="preserve">IDHR </w:t>
      </w:r>
      <w:r w:rsidR="0041067B" w:rsidRPr="0013319C">
        <w:rPr>
          <w:lang w:val="es-ES"/>
        </w:rPr>
        <w:t xml:space="preserve">se comunicará entonces con la parte afectada por email </w:t>
      </w:r>
      <w:r w:rsidR="0092019C" w:rsidRPr="0013319C">
        <w:rPr>
          <w:lang w:val="es-ES"/>
        </w:rPr>
        <w:t xml:space="preserve">y le preguntará si desea </w:t>
      </w:r>
      <w:r w:rsidR="00FD5E87" w:rsidRPr="0013319C">
        <w:rPr>
          <w:lang w:val="es-ES"/>
        </w:rPr>
        <w:t xml:space="preserve">celebrar una reunión y </w:t>
      </w:r>
      <w:r w:rsidR="00C317B3">
        <w:rPr>
          <w:lang w:val="es-ES"/>
        </w:rPr>
        <w:t>saber</w:t>
      </w:r>
      <w:r w:rsidR="00FD5E87" w:rsidRPr="0013319C">
        <w:rPr>
          <w:lang w:val="es-ES"/>
        </w:rPr>
        <w:t xml:space="preserve"> más acerca de los recursos y las opciones </w:t>
      </w:r>
      <w:r w:rsidR="00AF0B69" w:rsidRPr="0013319C">
        <w:rPr>
          <w:lang w:val="es-ES"/>
        </w:rPr>
        <w:t xml:space="preserve">de denuncia que tiene a su disposición. No es necesario que acepte reunirse con el personal de IDHR. </w:t>
      </w:r>
    </w:p>
    <w:p w14:paraId="62804E04" w14:textId="77777777" w:rsidR="00EB5AD0" w:rsidRPr="0013319C" w:rsidRDefault="00EB5AD0" w:rsidP="00E238E8">
      <w:pPr>
        <w:rPr>
          <w:lang w:val="es-ES"/>
        </w:rPr>
      </w:pPr>
    </w:p>
    <w:p w14:paraId="1C8BB993" w14:textId="37F91285" w:rsidR="00E238E8" w:rsidRPr="0013319C" w:rsidRDefault="00AF0B69" w:rsidP="00E238E8">
      <w:pPr>
        <w:rPr>
          <w:b/>
          <w:bCs/>
          <w:lang w:val="es-ES"/>
        </w:rPr>
      </w:pPr>
      <w:r w:rsidRPr="0013319C">
        <w:rPr>
          <w:b/>
          <w:bCs/>
          <w:lang w:val="es-ES"/>
        </w:rPr>
        <w:t>Recursos para Estudiantes en el</w:t>
      </w:r>
      <w:r w:rsidR="00EB5AD0" w:rsidRPr="0013319C">
        <w:rPr>
          <w:b/>
          <w:bCs/>
          <w:lang w:val="es-ES"/>
        </w:rPr>
        <w:t xml:space="preserve"> Campus</w:t>
      </w:r>
    </w:p>
    <w:p w14:paraId="23E21DD4" w14:textId="77777777" w:rsidR="00EB5AD0" w:rsidRPr="0013319C" w:rsidRDefault="00EB5AD0" w:rsidP="00E238E8">
      <w:pPr>
        <w:rPr>
          <w:lang w:val="es-ES"/>
        </w:rPr>
      </w:pPr>
    </w:p>
    <w:p w14:paraId="5411848C" w14:textId="6F8461D1" w:rsidR="00EB5AD0" w:rsidRPr="0013319C" w:rsidRDefault="00AF0B69" w:rsidP="00E238E8">
      <w:pPr>
        <w:rPr>
          <w:lang w:val="es-ES"/>
        </w:rPr>
      </w:pPr>
      <w:r w:rsidRPr="0013319C">
        <w:rPr>
          <w:lang w:val="es-ES"/>
        </w:rPr>
        <w:t>Recursos Privados</w:t>
      </w:r>
      <w:r w:rsidR="00EB5AD0" w:rsidRPr="0013319C">
        <w:rPr>
          <w:lang w:val="es-ES"/>
        </w:rPr>
        <w:t xml:space="preserve">* </w:t>
      </w:r>
    </w:p>
    <w:p w14:paraId="419A4B96" w14:textId="2699B862" w:rsidR="00EB5AD0" w:rsidRPr="0013319C" w:rsidRDefault="00E238E8" w:rsidP="00EB5AD0">
      <w:pPr>
        <w:pStyle w:val="ListParagraph"/>
        <w:numPr>
          <w:ilvl w:val="0"/>
          <w:numId w:val="11"/>
        </w:numPr>
        <w:rPr>
          <w:lang w:val="es-ES"/>
        </w:rPr>
      </w:pPr>
      <w:r w:rsidRPr="0013319C">
        <w:rPr>
          <w:lang w:val="es-ES"/>
        </w:rPr>
        <w:t>S</w:t>
      </w:r>
      <w:r w:rsidRPr="0013319C">
        <w:rPr>
          <w:vertAlign w:val="superscript"/>
          <w:lang w:val="es-ES"/>
        </w:rPr>
        <w:t>3</w:t>
      </w:r>
      <w:r w:rsidRPr="0013319C">
        <w:rPr>
          <w:lang w:val="es-ES"/>
        </w:rPr>
        <w:t xml:space="preserve"> (</w:t>
      </w:r>
      <w:r w:rsidR="00AF0B69" w:rsidRPr="0013319C">
        <w:rPr>
          <w:lang w:val="es-ES"/>
        </w:rPr>
        <w:t>Servicios de Apoyo a Estudiantes</w:t>
      </w:r>
      <w:r w:rsidRPr="0013319C">
        <w:rPr>
          <w:lang w:val="es-ES"/>
        </w:rPr>
        <w:t xml:space="preserve">) </w:t>
      </w:r>
    </w:p>
    <w:p w14:paraId="16389210" w14:textId="1C93E9AB" w:rsidR="00EB5AD0" w:rsidRPr="0013319C" w:rsidRDefault="00AF0B69" w:rsidP="00EB5AD0">
      <w:pPr>
        <w:pStyle w:val="ListParagraph"/>
        <w:numPr>
          <w:ilvl w:val="0"/>
          <w:numId w:val="11"/>
        </w:numPr>
        <w:rPr>
          <w:lang w:val="es-ES"/>
        </w:rPr>
      </w:pPr>
      <w:r w:rsidRPr="0013319C">
        <w:rPr>
          <w:lang w:val="es-ES"/>
        </w:rPr>
        <w:t>Oficina de Programas Multiculturales</w:t>
      </w:r>
      <w:r w:rsidR="00E238E8" w:rsidRPr="0013319C">
        <w:rPr>
          <w:lang w:val="es-ES"/>
        </w:rPr>
        <w:t xml:space="preserve"> </w:t>
      </w:r>
    </w:p>
    <w:p w14:paraId="51FFF9BC" w14:textId="2E98D667" w:rsidR="00EB5AD0" w:rsidRPr="0013319C" w:rsidRDefault="00AF0B69" w:rsidP="00EB5AD0">
      <w:pPr>
        <w:pStyle w:val="ListParagraph"/>
        <w:numPr>
          <w:ilvl w:val="0"/>
          <w:numId w:val="11"/>
        </w:numPr>
        <w:rPr>
          <w:lang w:val="es-ES"/>
        </w:rPr>
      </w:pPr>
      <w:r w:rsidRPr="0013319C">
        <w:rPr>
          <w:lang w:val="es-ES"/>
        </w:rPr>
        <w:t>Oficina de Educación para Minorías</w:t>
      </w:r>
      <w:r w:rsidR="00E238E8" w:rsidRPr="0013319C">
        <w:rPr>
          <w:lang w:val="es-ES"/>
        </w:rPr>
        <w:t xml:space="preserve"> </w:t>
      </w:r>
    </w:p>
    <w:p w14:paraId="348FD52C" w14:textId="77777777" w:rsidR="00EB5AD0" w:rsidRPr="0013319C" w:rsidRDefault="00E238E8" w:rsidP="00EB5AD0">
      <w:pPr>
        <w:pStyle w:val="ListParagraph"/>
        <w:numPr>
          <w:ilvl w:val="0"/>
          <w:numId w:val="11"/>
        </w:numPr>
        <w:rPr>
          <w:lang w:val="es-ES"/>
        </w:rPr>
      </w:pPr>
      <w:r w:rsidRPr="0013319C">
        <w:rPr>
          <w:lang w:val="es-ES"/>
        </w:rPr>
        <w:t xml:space="preserve">LBGTQ@MIT </w:t>
      </w:r>
    </w:p>
    <w:p w14:paraId="3154BB4E" w14:textId="55560375" w:rsidR="00EB5AD0" w:rsidRPr="0013319C" w:rsidRDefault="00AF0B69" w:rsidP="00EB5AD0">
      <w:pPr>
        <w:pStyle w:val="ListParagraph"/>
        <w:numPr>
          <w:ilvl w:val="0"/>
          <w:numId w:val="11"/>
        </w:numPr>
        <w:rPr>
          <w:lang w:val="es-ES"/>
        </w:rPr>
      </w:pPr>
      <w:r w:rsidRPr="0013319C">
        <w:rPr>
          <w:lang w:val="es-ES"/>
        </w:rPr>
        <w:t xml:space="preserve">Oficina de </w:t>
      </w:r>
      <w:r w:rsidR="00D63BAB" w:rsidRPr="0013319C">
        <w:rPr>
          <w:lang w:val="es-ES"/>
        </w:rPr>
        <w:t>Equidad Comunitaria del Instituto</w:t>
      </w:r>
      <w:r w:rsidRPr="0013319C">
        <w:rPr>
          <w:lang w:val="es-ES"/>
        </w:rPr>
        <w:t xml:space="preserve"> </w:t>
      </w:r>
    </w:p>
    <w:p w14:paraId="073458E1" w14:textId="739D194B" w:rsidR="00E238E8" w:rsidRPr="0013319C" w:rsidRDefault="00D63BAB" w:rsidP="00EB5AD0">
      <w:pPr>
        <w:pStyle w:val="ListParagraph"/>
        <w:numPr>
          <w:ilvl w:val="0"/>
          <w:numId w:val="11"/>
        </w:numPr>
        <w:rPr>
          <w:lang w:val="es-ES"/>
        </w:rPr>
      </w:pPr>
      <w:r w:rsidRPr="0013319C">
        <w:rPr>
          <w:lang w:val="es-ES"/>
        </w:rPr>
        <w:t xml:space="preserve">Oficina de </w:t>
      </w:r>
      <w:r w:rsidR="00AB2F4E" w:rsidRPr="0013319C">
        <w:rPr>
          <w:lang w:val="es-ES"/>
        </w:rPr>
        <w:t xml:space="preserve">Servicios de Discapacidades </w:t>
      </w:r>
      <w:r w:rsidR="000954C2" w:rsidRPr="0013319C">
        <w:rPr>
          <w:lang w:val="es-ES"/>
        </w:rPr>
        <w:t>para</w:t>
      </w:r>
      <w:r w:rsidR="00AB2F4E" w:rsidRPr="0013319C">
        <w:rPr>
          <w:lang w:val="es-ES"/>
        </w:rPr>
        <w:t xml:space="preserve"> Estudiantes de </w:t>
      </w:r>
      <w:r w:rsidR="000954C2" w:rsidRPr="0013319C">
        <w:rPr>
          <w:lang w:val="es-ES"/>
        </w:rPr>
        <w:t>Postg</w:t>
      </w:r>
      <w:r w:rsidR="00AB2F4E" w:rsidRPr="0013319C">
        <w:rPr>
          <w:lang w:val="es-ES"/>
        </w:rPr>
        <w:t>rado</w:t>
      </w:r>
    </w:p>
    <w:p w14:paraId="73617678" w14:textId="77777777" w:rsidR="00EB5AD0" w:rsidRPr="0013319C" w:rsidRDefault="00EB5AD0" w:rsidP="00E238E8">
      <w:pPr>
        <w:rPr>
          <w:lang w:val="es-ES"/>
        </w:rPr>
      </w:pPr>
    </w:p>
    <w:p w14:paraId="6787C892" w14:textId="23137C26" w:rsidR="00EB5AD0" w:rsidRPr="0013319C" w:rsidRDefault="000954C2" w:rsidP="00E238E8">
      <w:pPr>
        <w:rPr>
          <w:lang w:val="es-ES"/>
        </w:rPr>
      </w:pPr>
      <w:r w:rsidRPr="0013319C">
        <w:rPr>
          <w:lang w:val="es-ES"/>
        </w:rPr>
        <w:t>Recursos Confidenciales</w:t>
      </w:r>
      <w:r w:rsidR="00EB5AD0" w:rsidRPr="0013319C">
        <w:rPr>
          <w:lang w:val="es-ES"/>
        </w:rPr>
        <w:t xml:space="preserve"> </w:t>
      </w:r>
    </w:p>
    <w:p w14:paraId="01367457" w14:textId="048DA05B" w:rsidR="00EB5AD0" w:rsidRPr="0013319C" w:rsidRDefault="00F956F9" w:rsidP="00EB5AD0">
      <w:pPr>
        <w:pStyle w:val="ListParagraph"/>
        <w:numPr>
          <w:ilvl w:val="0"/>
          <w:numId w:val="10"/>
        </w:numPr>
        <w:rPr>
          <w:lang w:val="es-ES"/>
        </w:rPr>
      </w:pPr>
      <w:r w:rsidRPr="0013319C">
        <w:rPr>
          <w:lang w:val="es-ES"/>
        </w:rPr>
        <w:t>Prevención y Respuesta a la Violencia (</w:t>
      </w:r>
      <w:r w:rsidR="00E238E8" w:rsidRPr="0013319C">
        <w:rPr>
          <w:lang w:val="es-ES"/>
        </w:rPr>
        <w:t>VPR</w:t>
      </w:r>
      <w:r w:rsidRPr="0013319C">
        <w:rPr>
          <w:lang w:val="es-ES"/>
        </w:rPr>
        <w:t>)</w:t>
      </w:r>
      <w:r w:rsidR="00E238E8" w:rsidRPr="0013319C">
        <w:rPr>
          <w:lang w:val="es-ES"/>
        </w:rPr>
        <w:t xml:space="preserve">: 617-253-2300 </w:t>
      </w:r>
    </w:p>
    <w:p w14:paraId="77F6BEA5" w14:textId="0DBAD3BA" w:rsidR="00EB5AD0" w:rsidRPr="0013319C" w:rsidRDefault="00E238E8" w:rsidP="00EB5AD0">
      <w:pPr>
        <w:pStyle w:val="ListParagraph"/>
        <w:numPr>
          <w:ilvl w:val="0"/>
          <w:numId w:val="10"/>
        </w:numPr>
        <w:rPr>
          <w:lang w:val="es-ES"/>
        </w:rPr>
      </w:pPr>
      <w:r w:rsidRPr="0013319C">
        <w:rPr>
          <w:lang w:val="es-ES"/>
        </w:rPr>
        <w:t>Ombuds</w:t>
      </w:r>
      <w:r w:rsidR="00523A2D">
        <w:rPr>
          <w:lang w:val="es-ES"/>
        </w:rPr>
        <w:t>man</w:t>
      </w:r>
      <w:r w:rsidRPr="0013319C">
        <w:rPr>
          <w:lang w:val="es-ES"/>
        </w:rPr>
        <w:t xml:space="preserve">: 617-253-5921 </w:t>
      </w:r>
    </w:p>
    <w:p w14:paraId="2DB6350D" w14:textId="352E0C69" w:rsidR="00EB5AD0" w:rsidRPr="0013319C" w:rsidRDefault="00F956F9" w:rsidP="00EB5AD0">
      <w:pPr>
        <w:pStyle w:val="ListParagraph"/>
        <w:numPr>
          <w:ilvl w:val="0"/>
          <w:numId w:val="10"/>
        </w:numPr>
        <w:rPr>
          <w:lang w:val="es-ES"/>
        </w:rPr>
      </w:pPr>
      <w:r w:rsidRPr="0013319C">
        <w:rPr>
          <w:lang w:val="es-ES"/>
        </w:rPr>
        <w:t>Capellanes</w:t>
      </w:r>
      <w:r w:rsidR="00E238E8" w:rsidRPr="0013319C">
        <w:rPr>
          <w:lang w:val="es-ES"/>
        </w:rPr>
        <w:t xml:space="preserve">: 617-253-7707 </w:t>
      </w:r>
    </w:p>
    <w:p w14:paraId="14998EE5" w14:textId="77882894" w:rsidR="00EB5AD0" w:rsidRPr="0013319C" w:rsidRDefault="00E238E8" w:rsidP="00EB5AD0">
      <w:pPr>
        <w:pStyle w:val="ListParagraph"/>
        <w:numPr>
          <w:ilvl w:val="0"/>
          <w:numId w:val="10"/>
        </w:numPr>
        <w:rPr>
          <w:lang w:val="es-ES"/>
        </w:rPr>
      </w:pPr>
      <w:r w:rsidRPr="0013319C">
        <w:rPr>
          <w:lang w:val="es-ES"/>
        </w:rPr>
        <w:t>MIT Medical (</w:t>
      </w:r>
      <w:r w:rsidR="00F956F9" w:rsidRPr="0013319C">
        <w:rPr>
          <w:lang w:val="es-ES"/>
        </w:rPr>
        <w:t>Atención de Emergencias</w:t>
      </w:r>
      <w:r w:rsidRPr="0013319C">
        <w:rPr>
          <w:lang w:val="es-ES"/>
        </w:rPr>
        <w:t xml:space="preserve">): 617-253-4481 </w:t>
      </w:r>
    </w:p>
    <w:p w14:paraId="48E71487" w14:textId="26E8FF67" w:rsidR="00E238E8" w:rsidRPr="0013319C" w:rsidRDefault="001E6ABB" w:rsidP="00EB5AD0">
      <w:pPr>
        <w:pStyle w:val="ListParagraph"/>
        <w:numPr>
          <w:ilvl w:val="0"/>
          <w:numId w:val="10"/>
        </w:numPr>
        <w:rPr>
          <w:lang w:val="es-ES"/>
        </w:rPr>
      </w:pPr>
      <w:r w:rsidRPr="0013319C">
        <w:rPr>
          <w:lang w:val="es-ES"/>
        </w:rPr>
        <w:t>Salud Mental y Orientación Estudiantil</w:t>
      </w:r>
      <w:r w:rsidR="00E238E8" w:rsidRPr="0013319C">
        <w:rPr>
          <w:lang w:val="es-ES"/>
        </w:rPr>
        <w:t>: 617-253-2916</w:t>
      </w:r>
    </w:p>
    <w:p w14:paraId="21A0F2AF" w14:textId="77777777" w:rsidR="00EB5AD0" w:rsidRPr="0013319C" w:rsidRDefault="00EB5AD0" w:rsidP="00E238E8">
      <w:pPr>
        <w:rPr>
          <w:lang w:val="es-ES"/>
        </w:rPr>
      </w:pPr>
    </w:p>
    <w:p w14:paraId="2F27AC68" w14:textId="3933C3DD" w:rsidR="00E238E8" w:rsidRPr="0013319C" w:rsidRDefault="00E238E8" w:rsidP="00E238E8">
      <w:pPr>
        <w:rPr>
          <w:lang w:val="es-ES"/>
        </w:rPr>
      </w:pPr>
      <w:r w:rsidRPr="0013319C">
        <w:rPr>
          <w:lang w:val="es-ES"/>
        </w:rPr>
        <w:t xml:space="preserve">* </w:t>
      </w:r>
      <w:r w:rsidR="001E6ABB" w:rsidRPr="0013319C">
        <w:rPr>
          <w:lang w:val="es-ES"/>
        </w:rPr>
        <w:t xml:space="preserve">Si un estudiante habla con un recurso privado (también conocido como un Empleado Responsable) </w:t>
      </w:r>
      <w:r w:rsidR="00582398" w:rsidRPr="0013319C">
        <w:rPr>
          <w:lang w:val="es-ES"/>
        </w:rPr>
        <w:t xml:space="preserve">sobre una agresión sexual, acoso sexual, </w:t>
      </w:r>
      <w:r w:rsidR="009D5411" w:rsidRPr="0013319C">
        <w:rPr>
          <w:lang w:val="es-ES"/>
        </w:rPr>
        <w:t xml:space="preserve">violencia intrafamiliar o </w:t>
      </w:r>
      <w:r w:rsidR="00F20BF4" w:rsidRPr="0013319C">
        <w:rPr>
          <w:lang w:val="es-ES"/>
        </w:rPr>
        <w:t xml:space="preserve">de pareja, </w:t>
      </w:r>
      <w:r w:rsidR="002633EC" w:rsidRPr="0013319C">
        <w:rPr>
          <w:lang w:val="es-ES"/>
        </w:rPr>
        <w:t xml:space="preserve">o acecho, este último tiene la responsabilidad de </w:t>
      </w:r>
      <w:r w:rsidR="00965483" w:rsidRPr="0013319C">
        <w:rPr>
          <w:lang w:val="es-ES"/>
        </w:rPr>
        <w:t>informar</w:t>
      </w:r>
      <w:r w:rsidR="002633EC" w:rsidRPr="0013319C">
        <w:rPr>
          <w:lang w:val="es-ES"/>
        </w:rPr>
        <w:t xml:space="preserve"> </w:t>
      </w:r>
      <w:r w:rsidR="00965483" w:rsidRPr="0013319C">
        <w:rPr>
          <w:lang w:val="es-ES"/>
        </w:rPr>
        <w:t>a IDHR d</w:t>
      </w:r>
      <w:r w:rsidR="002633EC" w:rsidRPr="0013319C">
        <w:rPr>
          <w:lang w:val="es-ES"/>
        </w:rPr>
        <w:t>el incidente</w:t>
      </w:r>
      <w:r w:rsidRPr="0013319C">
        <w:rPr>
          <w:lang w:val="es-ES"/>
        </w:rPr>
        <w:t xml:space="preserve">. </w:t>
      </w:r>
      <w:r w:rsidR="00965483" w:rsidRPr="0013319C">
        <w:rPr>
          <w:lang w:val="es-ES"/>
        </w:rPr>
        <w:t xml:space="preserve">El Personal de </w:t>
      </w:r>
      <w:r w:rsidRPr="0013319C">
        <w:rPr>
          <w:lang w:val="es-ES"/>
        </w:rPr>
        <w:lastRenderedPageBreak/>
        <w:t xml:space="preserve">IDHR </w:t>
      </w:r>
      <w:r w:rsidR="00965483" w:rsidRPr="0013319C">
        <w:rPr>
          <w:lang w:val="es-ES"/>
        </w:rPr>
        <w:t>se pondrá entonces en contacto con el/la estudiante por emai</w:t>
      </w:r>
      <w:r w:rsidR="00D2227A" w:rsidRPr="0013319C">
        <w:rPr>
          <w:lang w:val="es-ES"/>
        </w:rPr>
        <w:t xml:space="preserve">l y le preguntará si le gustaría reunirse y </w:t>
      </w:r>
      <w:r w:rsidR="00D145A0">
        <w:rPr>
          <w:lang w:val="es-ES"/>
        </w:rPr>
        <w:t>saber</w:t>
      </w:r>
      <w:r w:rsidR="00BE7B47" w:rsidRPr="0013319C">
        <w:rPr>
          <w:lang w:val="es-ES"/>
        </w:rPr>
        <w:t xml:space="preserve"> más acerca de los recursos y opciones de denuncia que tiene a su disposición.</w:t>
      </w:r>
      <w:r w:rsidRPr="0013319C">
        <w:rPr>
          <w:lang w:val="es-ES"/>
        </w:rPr>
        <w:t xml:space="preserve"> </w:t>
      </w:r>
      <w:r w:rsidR="002C0EA5" w:rsidRPr="0013319C">
        <w:rPr>
          <w:lang w:val="es-ES"/>
        </w:rPr>
        <w:t>No está obligado</w:t>
      </w:r>
      <w:r w:rsidR="00D145A0">
        <w:rPr>
          <w:lang w:val="es-ES"/>
        </w:rPr>
        <w:t>/a</w:t>
      </w:r>
      <w:r w:rsidR="002C0EA5" w:rsidRPr="0013319C">
        <w:rPr>
          <w:lang w:val="es-ES"/>
        </w:rPr>
        <w:t xml:space="preserve"> </w:t>
      </w:r>
      <w:proofErr w:type="spellStart"/>
      <w:r w:rsidR="002C0EA5" w:rsidRPr="0013319C">
        <w:rPr>
          <w:lang w:val="es-ES"/>
        </w:rPr>
        <w:t>a</w:t>
      </w:r>
      <w:proofErr w:type="spellEnd"/>
      <w:r w:rsidR="002C0EA5" w:rsidRPr="0013319C">
        <w:rPr>
          <w:lang w:val="es-ES"/>
        </w:rPr>
        <w:t xml:space="preserve"> aceptar reunirse con el personal de </w:t>
      </w:r>
      <w:r w:rsidRPr="0013319C">
        <w:rPr>
          <w:lang w:val="es-ES"/>
        </w:rPr>
        <w:t>IDHR.</w:t>
      </w:r>
    </w:p>
    <w:p w14:paraId="7D6F36DA" w14:textId="77777777" w:rsidR="00EB5AD0" w:rsidRPr="0013319C" w:rsidRDefault="00EB5AD0" w:rsidP="00E238E8">
      <w:pPr>
        <w:rPr>
          <w:lang w:val="es-ES"/>
        </w:rPr>
      </w:pPr>
    </w:p>
    <w:p w14:paraId="763162BA" w14:textId="2718267E" w:rsidR="00E238E8" w:rsidRPr="0013319C" w:rsidRDefault="002C0EA5" w:rsidP="00E238E8">
      <w:pPr>
        <w:rPr>
          <w:lang w:val="es-ES"/>
        </w:rPr>
      </w:pPr>
      <w:r w:rsidRPr="0013319C">
        <w:rPr>
          <w:lang w:val="es-ES"/>
        </w:rPr>
        <w:t xml:space="preserve">Recursos </w:t>
      </w:r>
      <w:r w:rsidR="005C6DC6" w:rsidRPr="0013319C">
        <w:rPr>
          <w:lang w:val="es-ES"/>
        </w:rPr>
        <w:t>P</w:t>
      </w:r>
      <w:r w:rsidRPr="0013319C">
        <w:rPr>
          <w:lang w:val="es-ES"/>
        </w:rPr>
        <w:t xml:space="preserve">ara Empleados </w:t>
      </w:r>
      <w:r w:rsidR="005C6DC6" w:rsidRPr="0013319C">
        <w:rPr>
          <w:lang w:val="es-ES"/>
        </w:rPr>
        <w:t>y</w:t>
      </w:r>
      <w:r w:rsidRPr="0013319C">
        <w:rPr>
          <w:lang w:val="es-ES"/>
        </w:rPr>
        <w:t xml:space="preserve"> Estudiantes Fuera </w:t>
      </w:r>
      <w:r w:rsidR="005C6DC6" w:rsidRPr="0013319C">
        <w:rPr>
          <w:lang w:val="es-ES"/>
        </w:rPr>
        <w:t>d</w:t>
      </w:r>
      <w:r w:rsidRPr="0013319C">
        <w:rPr>
          <w:lang w:val="es-ES"/>
        </w:rPr>
        <w:t xml:space="preserve">el </w:t>
      </w:r>
      <w:r w:rsidR="00EB5AD0" w:rsidRPr="0013319C">
        <w:rPr>
          <w:lang w:val="es-ES"/>
        </w:rPr>
        <w:t xml:space="preserve">Campus </w:t>
      </w:r>
    </w:p>
    <w:p w14:paraId="3FB022D1" w14:textId="26765467" w:rsidR="00EB5AD0" w:rsidRPr="0013319C" w:rsidRDefault="00E238E8" w:rsidP="00EB5AD0">
      <w:pPr>
        <w:pStyle w:val="ListParagraph"/>
        <w:numPr>
          <w:ilvl w:val="0"/>
          <w:numId w:val="9"/>
        </w:numPr>
        <w:rPr>
          <w:lang w:val="es-ES"/>
        </w:rPr>
      </w:pPr>
      <w:proofErr w:type="spellStart"/>
      <w:r w:rsidRPr="0013319C">
        <w:rPr>
          <w:lang w:val="es-ES"/>
        </w:rPr>
        <w:t>The</w:t>
      </w:r>
      <w:proofErr w:type="spellEnd"/>
      <w:r w:rsidRPr="0013319C">
        <w:rPr>
          <w:lang w:val="es-ES"/>
        </w:rPr>
        <w:t xml:space="preserve"> Network/La Red (</w:t>
      </w:r>
      <w:r w:rsidR="002C0EA5" w:rsidRPr="0013319C">
        <w:rPr>
          <w:lang w:val="es-ES"/>
        </w:rPr>
        <w:t xml:space="preserve">Servicios </w:t>
      </w:r>
      <w:r w:rsidRPr="0013319C">
        <w:rPr>
          <w:lang w:val="es-ES"/>
        </w:rPr>
        <w:t xml:space="preserve">LBGTQ*): 617-742-4911 </w:t>
      </w:r>
    </w:p>
    <w:p w14:paraId="6D9E28AC" w14:textId="166DD995" w:rsidR="00EB5AD0" w:rsidRPr="0013319C" w:rsidRDefault="006054C9" w:rsidP="00EB5AD0">
      <w:pPr>
        <w:pStyle w:val="ListParagraph"/>
        <w:numPr>
          <w:ilvl w:val="0"/>
          <w:numId w:val="9"/>
        </w:numPr>
        <w:rPr>
          <w:lang w:val="es-ES"/>
        </w:rPr>
      </w:pPr>
      <w:r w:rsidRPr="0013319C">
        <w:rPr>
          <w:lang w:val="es-ES"/>
        </w:rPr>
        <w:t xml:space="preserve">Centro de Crisis por Violación del Área de </w:t>
      </w:r>
      <w:r w:rsidR="00E238E8" w:rsidRPr="0013319C">
        <w:rPr>
          <w:lang w:val="es-ES"/>
        </w:rPr>
        <w:t xml:space="preserve">Boston (BARCC) 800-841-8371 </w:t>
      </w:r>
    </w:p>
    <w:p w14:paraId="61D2FBAC" w14:textId="08BC5CE1" w:rsidR="00EB5AD0" w:rsidRPr="0013319C" w:rsidRDefault="006054C9" w:rsidP="00EB5AD0">
      <w:pPr>
        <w:pStyle w:val="ListParagraph"/>
        <w:numPr>
          <w:ilvl w:val="0"/>
          <w:numId w:val="9"/>
        </w:numPr>
        <w:rPr>
          <w:lang w:val="es-ES"/>
        </w:rPr>
      </w:pPr>
      <w:r w:rsidRPr="0013319C">
        <w:rPr>
          <w:lang w:val="es-ES"/>
        </w:rPr>
        <w:t>Centro Legal</w:t>
      </w:r>
      <w:r w:rsidR="005C6DC6" w:rsidRPr="0013319C">
        <w:rPr>
          <w:lang w:val="es-ES"/>
        </w:rPr>
        <w:t xml:space="preserve"> para los Derechos de las Víctimas: </w:t>
      </w:r>
      <w:r w:rsidR="00E238E8" w:rsidRPr="0013319C">
        <w:rPr>
          <w:lang w:val="es-ES"/>
        </w:rPr>
        <w:t xml:space="preserve">617-399-6720 </w:t>
      </w:r>
    </w:p>
    <w:p w14:paraId="0CDFBD6B" w14:textId="3AAE84DF" w:rsidR="00EB5AD0" w:rsidRPr="0013319C" w:rsidRDefault="0030791D" w:rsidP="00EB5AD0">
      <w:pPr>
        <w:pStyle w:val="ListParagraph"/>
        <w:numPr>
          <w:ilvl w:val="0"/>
          <w:numId w:val="9"/>
        </w:numPr>
        <w:rPr>
          <w:lang w:val="es-ES"/>
        </w:rPr>
      </w:pPr>
      <w:r w:rsidRPr="0013319C">
        <w:rPr>
          <w:lang w:val="es-ES"/>
        </w:rPr>
        <w:t>Casa de Reinserción</w:t>
      </w:r>
      <w:r w:rsidR="00E238E8" w:rsidRPr="0013319C">
        <w:rPr>
          <w:lang w:val="es-ES"/>
        </w:rPr>
        <w:t xml:space="preserve"> (</w:t>
      </w:r>
      <w:r w:rsidR="00D504C3" w:rsidRPr="0013319C">
        <w:rPr>
          <w:lang w:val="es-ES"/>
        </w:rPr>
        <w:t>Refugio para Víctimas de Violencia Intrafamiliar</w:t>
      </w:r>
      <w:r w:rsidR="00E238E8" w:rsidRPr="0013319C">
        <w:rPr>
          <w:lang w:val="es-ES"/>
        </w:rPr>
        <w:t xml:space="preserve">): 617-661-7203 </w:t>
      </w:r>
    </w:p>
    <w:p w14:paraId="08CBB4CC" w14:textId="78910969" w:rsidR="00EB5AD0" w:rsidRPr="0013319C" w:rsidRDefault="00D504C3" w:rsidP="00EB5AD0">
      <w:pPr>
        <w:pStyle w:val="ListParagraph"/>
        <w:numPr>
          <w:ilvl w:val="0"/>
          <w:numId w:val="9"/>
        </w:numPr>
        <w:rPr>
          <w:lang w:val="es-ES"/>
        </w:rPr>
      </w:pPr>
      <w:r w:rsidRPr="0013319C">
        <w:rPr>
          <w:lang w:val="es-ES"/>
        </w:rPr>
        <w:t xml:space="preserve">Comisión </w:t>
      </w:r>
      <w:r w:rsidR="00FD5951" w:rsidRPr="0013319C">
        <w:rPr>
          <w:lang w:val="es-ES"/>
        </w:rPr>
        <w:t>para la</w:t>
      </w:r>
      <w:r w:rsidRPr="0013319C">
        <w:rPr>
          <w:lang w:val="es-ES"/>
        </w:rPr>
        <w:t xml:space="preserve"> Igualdad de Oportunidad</w:t>
      </w:r>
      <w:r w:rsidR="00FD5951" w:rsidRPr="0013319C">
        <w:rPr>
          <w:lang w:val="es-ES"/>
        </w:rPr>
        <w:t xml:space="preserve">es de Empleo de los EE. UU.: </w:t>
      </w:r>
      <w:r w:rsidR="00E238E8" w:rsidRPr="0013319C">
        <w:rPr>
          <w:lang w:val="es-ES"/>
        </w:rPr>
        <w:t xml:space="preserve">800-669-4000 </w:t>
      </w:r>
    </w:p>
    <w:p w14:paraId="045BED83" w14:textId="248852A0" w:rsidR="00E238E8" w:rsidRPr="0013319C" w:rsidRDefault="00FD5951" w:rsidP="00EB5AD0">
      <w:pPr>
        <w:pStyle w:val="ListParagraph"/>
        <w:numPr>
          <w:ilvl w:val="0"/>
          <w:numId w:val="9"/>
        </w:numPr>
        <w:rPr>
          <w:lang w:val="es-ES"/>
        </w:rPr>
      </w:pPr>
      <w:r w:rsidRPr="0013319C">
        <w:rPr>
          <w:lang w:val="es-ES"/>
        </w:rPr>
        <w:t xml:space="preserve">Comisión Contra la Discriminación de </w:t>
      </w:r>
      <w:r w:rsidR="00E238E8" w:rsidRPr="0013319C">
        <w:rPr>
          <w:lang w:val="es-ES"/>
        </w:rPr>
        <w:t>MA: 617-994-6000</w:t>
      </w:r>
    </w:p>
    <w:p w14:paraId="5621FD9B" w14:textId="5EEB9B59" w:rsidR="00E238E8" w:rsidRPr="0013319C" w:rsidRDefault="00E238E8" w:rsidP="00E238E8">
      <w:pPr>
        <w:rPr>
          <w:lang w:val="es-ES"/>
        </w:rPr>
      </w:pPr>
    </w:p>
    <w:p w14:paraId="0FB38791" w14:textId="75647E2B" w:rsidR="00E238E8" w:rsidRPr="0013319C" w:rsidRDefault="00E238E8" w:rsidP="00E238E8">
      <w:pPr>
        <w:rPr>
          <w:lang w:val="es-ES"/>
        </w:rPr>
      </w:pPr>
    </w:p>
    <w:p w14:paraId="67769DD0" w14:textId="4B80850A" w:rsidR="00E238E8" w:rsidRPr="0013319C" w:rsidRDefault="00FD5951" w:rsidP="00E238E8">
      <w:pPr>
        <w:rPr>
          <w:b/>
          <w:bCs/>
          <w:lang w:val="es-ES"/>
        </w:rPr>
      </w:pPr>
      <w:r w:rsidRPr="0013319C">
        <w:rPr>
          <w:b/>
          <w:bCs/>
          <w:lang w:val="es-ES"/>
        </w:rPr>
        <w:t>¿</w:t>
      </w:r>
      <w:r w:rsidR="00DF3881" w:rsidRPr="0013319C">
        <w:rPr>
          <w:b/>
          <w:bCs/>
          <w:lang w:val="es-ES"/>
        </w:rPr>
        <w:t xml:space="preserve">Cómo me protege </w:t>
      </w:r>
      <w:r w:rsidR="007B23F9" w:rsidRPr="0013319C">
        <w:rPr>
          <w:b/>
          <w:bCs/>
          <w:lang w:val="es-ES"/>
        </w:rPr>
        <w:t xml:space="preserve">MIT </w:t>
      </w:r>
      <w:r w:rsidR="00DF3881" w:rsidRPr="0013319C">
        <w:rPr>
          <w:b/>
          <w:bCs/>
          <w:lang w:val="es-ES"/>
        </w:rPr>
        <w:t xml:space="preserve">contra la discriminación y el acoso discriminatorio? </w:t>
      </w:r>
    </w:p>
    <w:p w14:paraId="2B49362D" w14:textId="3241645F" w:rsidR="00E238E8" w:rsidRPr="0013319C" w:rsidRDefault="007B23F9" w:rsidP="00E238E8">
      <w:pPr>
        <w:rPr>
          <w:lang w:val="es-ES"/>
        </w:rPr>
      </w:pPr>
      <w:r w:rsidRPr="0013319C">
        <w:rPr>
          <w:lang w:val="es-ES"/>
        </w:rPr>
        <w:t xml:space="preserve">Política de No Discriminación: Massachusetts </w:t>
      </w:r>
      <w:proofErr w:type="spellStart"/>
      <w:r w:rsidRPr="0013319C">
        <w:rPr>
          <w:lang w:val="es-ES"/>
        </w:rPr>
        <w:t>Institute</w:t>
      </w:r>
      <w:proofErr w:type="spellEnd"/>
      <w:r w:rsidRPr="0013319C">
        <w:rPr>
          <w:lang w:val="es-ES"/>
        </w:rPr>
        <w:t xml:space="preserve"> </w:t>
      </w:r>
      <w:proofErr w:type="spellStart"/>
      <w:r w:rsidRPr="0013319C">
        <w:rPr>
          <w:lang w:val="es-ES"/>
        </w:rPr>
        <w:t>of</w:t>
      </w:r>
      <w:proofErr w:type="spellEnd"/>
      <w:r w:rsidRPr="0013319C">
        <w:rPr>
          <w:lang w:val="es-ES"/>
        </w:rPr>
        <w:t xml:space="preserve"> </w:t>
      </w:r>
      <w:proofErr w:type="spellStart"/>
      <w:r w:rsidRPr="0013319C">
        <w:rPr>
          <w:lang w:val="es-ES"/>
        </w:rPr>
        <w:t>Technology</w:t>
      </w:r>
      <w:proofErr w:type="spellEnd"/>
      <w:r w:rsidRPr="0013319C">
        <w:rPr>
          <w:lang w:val="es-ES"/>
        </w:rPr>
        <w:t xml:space="preserve"> está comprometido con el principio de la igualdad de oportunidades en la educación y el empleo. El Instituto </w:t>
      </w:r>
      <w:r w:rsidR="00B94A16" w:rsidRPr="0013319C">
        <w:rPr>
          <w:lang w:val="es-ES"/>
        </w:rPr>
        <w:t xml:space="preserve">no discrimina a personas por </w:t>
      </w:r>
      <w:r w:rsidR="00D06936">
        <w:rPr>
          <w:lang w:val="es-ES"/>
        </w:rPr>
        <w:t>motivo</w:t>
      </w:r>
      <w:r w:rsidR="00B94A16" w:rsidRPr="0013319C">
        <w:rPr>
          <w:lang w:val="es-ES"/>
        </w:rPr>
        <w:t xml:space="preserve"> de su raza, color</w:t>
      </w:r>
      <w:r w:rsidR="00A90FFE" w:rsidRPr="0013319C">
        <w:rPr>
          <w:lang w:val="es-ES"/>
        </w:rPr>
        <w:t xml:space="preserve">, sexo, orientación sexual, identidad de género, embarazo, religión, discapacidad, edad, información genética, estado de veteranía, </w:t>
      </w:r>
      <w:r w:rsidR="009A32E2" w:rsidRPr="0013319C">
        <w:rPr>
          <w:lang w:val="es-ES"/>
        </w:rPr>
        <w:t xml:space="preserve">o </w:t>
      </w:r>
      <w:r w:rsidR="009C2C54" w:rsidRPr="0013319C">
        <w:rPr>
          <w:lang w:val="es-ES"/>
        </w:rPr>
        <w:t>país</w:t>
      </w:r>
      <w:r w:rsidR="009A32E2" w:rsidRPr="0013319C">
        <w:rPr>
          <w:lang w:val="es-ES"/>
        </w:rPr>
        <w:t xml:space="preserve"> o etnia de origen</w:t>
      </w:r>
      <w:r w:rsidR="00D35216" w:rsidRPr="0013319C">
        <w:rPr>
          <w:lang w:val="es-ES"/>
        </w:rPr>
        <w:t xml:space="preserve"> en la administración de sus políticas educativas, políticas de admisión, políticas de empleo, programas de </w:t>
      </w:r>
      <w:r w:rsidR="00A84401" w:rsidRPr="0013319C">
        <w:rPr>
          <w:lang w:val="es-ES"/>
        </w:rPr>
        <w:t>becas o préstamos, y demás programas y actividades administrados por el Instituto</w:t>
      </w:r>
      <w:r w:rsidR="001040B3" w:rsidRPr="0013319C">
        <w:rPr>
          <w:lang w:val="es-ES"/>
        </w:rPr>
        <w:t>, pero podría favorecer a los ciudadanos y residentes de los EE. UU. en cuanto a admisión y a ayudas financieras.</w:t>
      </w:r>
      <w:r w:rsidR="00E238E8" w:rsidRPr="0013319C">
        <w:rPr>
          <w:lang w:val="es-ES"/>
        </w:rPr>
        <w:t xml:space="preserve"> </w:t>
      </w:r>
    </w:p>
    <w:p w14:paraId="110C2373" w14:textId="19B8A9C7" w:rsidR="00E238E8" w:rsidRPr="0013319C" w:rsidRDefault="00E238E8" w:rsidP="00E238E8">
      <w:pPr>
        <w:rPr>
          <w:lang w:val="es-ES"/>
        </w:rPr>
      </w:pPr>
    </w:p>
    <w:p w14:paraId="42C49F20" w14:textId="276B5C19" w:rsidR="00E238E8" w:rsidRPr="0013319C" w:rsidRDefault="001040B3" w:rsidP="00E238E8">
      <w:pPr>
        <w:rPr>
          <w:lang w:val="es-ES"/>
        </w:rPr>
      </w:pPr>
      <w:r w:rsidRPr="0013319C">
        <w:rPr>
          <w:lang w:val="es-ES"/>
        </w:rPr>
        <w:t>Acoso Discriminatorio: El acoso es definido como una conducta indeseada</w:t>
      </w:r>
      <w:r w:rsidR="00B455BF" w:rsidRPr="0013319C">
        <w:rPr>
          <w:lang w:val="es-ES"/>
        </w:rPr>
        <w:t xml:space="preserve"> de naturaleza verbal, no verbal o física lo suficientemente grave o </w:t>
      </w:r>
      <w:r w:rsidR="00295CE3" w:rsidRPr="0013319C">
        <w:rPr>
          <w:lang w:val="es-ES"/>
        </w:rPr>
        <w:t>generalizad</w:t>
      </w:r>
      <w:r w:rsidR="002436C9" w:rsidRPr="0013319C">
        <w:rPr>
          <w:lang w:val="es-ES"/>
        </w:rPr>
        <w:t>a como</w:t>
      </w:r>
      <w:r w:rsidR="00295CE3" w:rsidRPr="0013319C">
        <w:rPr>
          <w:lang w:val="es-ES"/>
        </w:rPr>
        <w:t xml:space="preserve"> para generar un ambiente laboral o académico </w:t>
      </w:r>
      <w:r w:rsidR="00B82565" w:rsidRPr="0013319C">
        <w:rPr>
          <w:lang w:val="es-ES"/>
        </w:rPr>
        <w:t xml:space="preserve">que sería considerado por una persona razonable como intimidante, hostil o abusivo, y que afecta de forma negativa </w:t>
      </w:r>
      <w:r w:rsidR="00811530" w:rsidRPr="0013319C">
        <w:rPr>
          <w:lang w:val="es-ES"/>
        </w:rPr>
        <w:t xml:space="preserve">al entorno educativo, laboral o </w:t>
      </w:r>
      <w:r w:rsidR="007E43D8" w:rsidRPr="0013319C">
        <w:rPr>
          <w:lang w:val="es-ES"/>
        </w:rPr>
        <w:t xml:space="preserve">de vida de </w:t>
      </w:r>
      <w:r w:rsidR="003A15B0" w:rsidRPr="0013319C">
        <w:rPr>
          <w:lang w:val="es-ES"/>
        </w:rPr>
        <w:t>la</w:t>
      </w:r>
      <w:r w:rsidR="007E43D8" w:rsidRPr="0013319C">
        <w:rPr>
          <w:lang w:val="es-ES"/>
        </w:rPr>
        <w:t xml:space="preserve"> persona</w:t>
      </w:r>
      <w:r w:rsidR="00E238E8" w:rsidRPr="0013319C">
        <w:rPr>
          <w:lang w:val="es-ES"/>
        </w:rPr>
        <w:t xml:space="preserve">. </w:t>
      </w:r>
      <w:r w:rsidR="003A15B0" w:rsidRPr="0013319C">
        <w:rPr>
          <w:lang w:val="es-ES"/>
        </w:rPr>
        <w:t xml:space="preserve">El Acoso Discriminatorio </w:t>
      </w:r>
      <w:r w:rsidR="004F5010" w:rsidRPr="0013319C">
        <w:rPr>
          <w:lang w:val="es-ES"/>
        </w:rPr>
        <w:t xml:space="preserve">incluye el acoso basado en: </w:t>
      </w:r>
      <w:r w:rsidR="00E238E8" w:rsidRPr="0013319C">
        <w:rPr>
          <w:lang w:val="es-ES"/>
        </w:rPr>
        <w:t xml:space="preserve"> </w:t>
      </w:r>
    </w:p>
    <w:p w14:paraId="1816E087" w14:textId="5CE2F5C6" w:rsidR="00E238E8" w:rsidRPr="0013319C" w:rsidRDefault="00E238E8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ra</w:t>
      </w:r>
      <w:r w:rsidR="004F5010" w:rsidRPr="0013319C">
        <w:rPr>
          <w:lang w:val="es-ES"/>
        </w:rPr>
        <w:t>za</w:t>
      </w:r>
      <w:r w:rsidRPr="0013319C">
        <w:rPr>
          <w:lang w:val="es-ES"/>
        </w:rPr>
        <w:t xml:space="preserve"> </w:t>
      </w:r>
    </w:p>
    <w:p w14:paraId="7BE5D51A" w14:textId="77777777" w:rsidR="00E238E8" w:rsidRPr="0013319C" w:rsidRDefault="00E238E8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color</w:t>
      </w:r>
    </w:p>
    <w:p w14:paraId="604EFA06" w14:textId="1530F9EB" w:rsidR="00E238E8" w:rsidRPr="0013319C" w:rsidRDefault="00E238E8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sex</w:t>
      </w:r>
      <w:r w:rsidR="004F5010" w:rsidRPr="0013319C">
        <w:rPr>
          <w:lang w:val="es-ES"/>
        </w:rPr>
        <w:t>o</w:t>
      </w:r>
    </w:p>
    <w:p w14:paraId="35EDE176" w14:textId="6133AEA9" w:rsidR="00E238E8" w:rsidRPr="0013319C" w:rsidRDefault="004F5010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orientación sexual</w:t>
      </w:r>
    </w:p>
    <w:p w14:paraId="14C8621A" w14:textId="0B6F96DB" w:rsidR="00E238E8" w:rsidRPr="0013319C" w:rsidRDefault="004F5010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identidad de género</w:t>
      </w:r>
    </w:p>
    <w:p w14:paraId="1D55212F" w14:textId="47A7E4BD" w:rsidR="00E238E8" w:rsidRPr="0013319C" w:rsidRDefault="004F5010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embarazo</w:t>
      </w:r>
    </w:p>
    <w:p w14:paraId="39740B8D" w14:textId="2628DCD9" w:rsidR="00E238E8" w:rsidRPr="0013319C" w:rsidRDefault="00E238E8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religi</w:t>
      </w:r>
      <w:r w:rsidR="004F5010" w:rsidRPr="0013319C">
        <w:rPr>
          <w:lang w:val="es-ES"/>
        </w:rPr>
        <w:t>ó</w:t>
      </w:r>
      <w:r w:rsidRPr="0013319C">
        <w:rPr>
          <w:lang w:val="es-ES"/>
        </w:rPr>
        <w:t xml:space="preserve">n </w:t>
      </w:r>
    </w:p>
    <w:p w14:paraId="7CB52A26" w14:textId="3ADC6A74" w:rsidR="00E238E8" w:rsidRPr="0013319C" w:rsidRDefault="004F5010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discapacidad</w:t>
      </w:r>
    </w:p>
    <w:p w14:paraId="7879E2BF" w14:textId="4ED82410" w:rsidR="00E238E8" w:rsidRPr="0013319C" w:rsidRDefault="004F5010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edad</w:t>
      </w:r>
    </w:p>
    <w:p w14:paraId="05A67784" w14:textId="1F6F3551" w:rsidR="00E238E8" w:rsidRPr="0013319C" w:rsidRDefault="004F5010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información genética</w:t>
      </w:r>
    </w:p>
    <w:p w14:paraId="7140D0AE" w14:textId="4DA6D9BE" w:rsidR="00E238E8" w:rsidRPr="0013319C" w:rsidRDefault="004F5010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estado de veteranía</w:t>
      </w:r>
    </w:p>
    <w:p w14:paraId="5366B1CA" w14:textId="7119DC5A" w:rsidR="00E238E8" w:rsidRPr="0013319C" w:rsidRDefault="009C2C54" w:rsidP="00E238E8">
      <w:pPr>
        <w:pStyle w:val="ListParagraph"/>
        <w:numPr>
          <w:ilvl w:val="0"/>
          <w:numId w:val="8"/>
        </w:numPr>
        <w:rPr>
          <w:lang w:val="es-ES"/>
        </w:rPr>
      </w:pPr>
      <w:r w:rsidRPr="0013319C">
        <w:rPr>
          <w:lang w:val="es-ES"/>
        </w:rPr>
        <w:t>País o etnia de origen</w:t>
      </w:r>
    </w:p>
    <w:p w14:paraId="5C55F735" w14:textId="3AE4212C" w:rsidR="00E238E8" w:rsidRPr="0013319C" w:rsidRDefault="00E238E8" w:rsidP="00E238E8">
      <w:pPr>
        <w:rPr>
          <w:lang w:val="es-ES"/>
        </w:rPr>
      </w:pPr>
    </w:p>
    <w:p w14:paraId="5CD97A10" w14:textId="1E2C92ED" w:rsidR="00E238E8" w:rsidRPr="0013319C" w:rsidRDefault="00E238E8" w:rsidP="00E238E8">
      <w:pPr>
        <w:rPr>
          <w:lang w:val="es-ES"/>
        </w:rPr>
      </w:pPr>
    </w:p>
    <w:p w14:paraId="231524CD" w14:textId="05D3B478" w:rsidR="00E238E8" w:rsidRPr="0013319C" w:rsidRDefault="009C2C54" w:rsidP="00E238E8">
      <w:pPr>
        <w:rPr>
          <w:lang w:val="es-ES"/>
        </w:rPr>
      </w:pPr>
      <w:r w:rsidRPr="0013319C">
        <w:rPr>
          <w:lang w:val="es-ES"/>
        </w:rPr>
        <w:t xml:space="preserve">Para más información sobre las políticas de MIT: </w:t>
      </w:r>
      <w:r w:rsidR="00E238E8" w:rsidRPr="0013319C">
        <w:rPr>
          <w:lang w:val="es-ES"/>
        </w:rPr>
        <w:t xml:space="preserve">• policies.mit.edu </w:t>
      </w:r>
      <w:r w:rsidRPr="0013319C">
        <w:rPr>
          <w:lang w:val="es-ES"/>
        </w:rPr>
        <w:t>para políticas de empleo</w:t>
      </w:r>
      <w:r w:rsidR="00E238E8" w:rsidRPr="0013319C">
        <w:rPr>
          <w:lang w:val="es-ES"/>
        </w:rPr>
        <w:t xml:space="preserve"> • handbook.mit.edu </w:t>
      </w:r>
      <w:r w:rsidRPr="0013319C">
        <w:rPr>
          <w:lang w:val="es-ES"/>
        </w:rPr>
        <w:t xml:space="preserve">para políticas </w:t>
      </w:r>
      <w:r w:rsidR="00E84A46" w:rsidRPr="0013319C">
        <w:rPr>
          <w:lang w:val="es-ES"/>
        </w:rPr>
        <w:t>estudiantiles</w:t>
      </w:r>
    </w:p>
    <w:p w14:paraId="2F0D6325" w14:textId="70622F4C" w:rsidR="00E238E8" w:rsidRPr="0013319C" w:rsidRDefault="00E238E8" w:rsidP="00E238E8">
      <w:pPr>
        <w:rPr>
          <w:lang w:val="es-ES"/>
        </w:rPr>
      </w:pPr>
    </w:p>
    <w:p w14:paraId="01BD7684" w14:textId="5C785BD3" w:rsidR="00E238E8" w:rsidRPr="0013319C" w:rsidRDefault="00E238E8" w:rsidP="00E238E8">
      <w:pPr>
        <w:rPr>
          <w:lang w:val="es-ES"/>
        </w:rPr>
      </w:pPr>
    </w:p>
    <w:p w14:paraId="0E930958" w14:textId="3104B604" w:rsidR="00E238E8" w:rsidRPr="0013319C" w:rsidRDefault="00E84A46" w:rsidP="00E238E8">
      <w:pPr>
        <w:rPr>
          <w:b/>
          <w:bCs/>
          <w:lang w:val="es-ES"/>
        </w:rPr>
      </w:pPr>
      <w:r w:rsidRPr="0013319C">
        <w:rPr>
          <w:b/>
          <w:bCs/>
          <w:lang w:val="es-ES"/>
        </w:rPr>
        <w:t xml:space="preserve">¿Qué puedo hacer si </w:t>
      </w:r>
      <w:r w:rsidR="005A23BB" w:rsidRPr="0013319C">
        <w:rPr>
          <w:b/>
          <w:bCs/>
          <w:lang w:val="es-ES"/>
        </w:rPr>
        <w:t xml:space="preserve">me convierto en el </w:t>
      </w:r>
      <w:r w:rsidR="000022D8">
        <w:rPr>
          <w:b/>
          <w:bCs/>
          <w:lang w:val="es-ES"/>
        </w:rPr>
        <w:t>objetivo</w:t>
      </w:r>
      <w:r w:rsidR="005A23BB" w:rsidRPr="0013319C">
        <w:rPr>
          <w:b/>
          <w:bCs/>
          <w:lang w:val="es-ES"/>
        </w:rPr>
        <w:t xml:space="preserve"> de un comportamiento discriminatorio</w:t>
      </w:r>
      <w:r w:rsidR="00E238E8" w:rsidRPr="0013319C">
        <w:rPr>
          <w:b/>
          <w:bCs/>
          <w:lang w:val="es-ES"/>
        </w:rPr>
        <w:t>?</w:t>
      </w:r>
    </w:p>
    <w:p w14:paraId="36237FA6" w14:textId="3C159D64" w:rsidR="00E238E8" w:rsidRPr="0013319C" w:rsidRDefault="00E238E8" w:rsidP="00E238E8">
      <w:pPr>
        <w:rPr>
          <w:lang w:val="es-ES"/>
        </w:rPr>
      </w:pPr>
      <w:r w:rsidRPr="0013319C">
        <w:rPr>
          <w:lang w:val="es-ES"/>
        </w:rPr>
        <w:t xml:space="preserve">MIT </w:t>
      </w:r>
      <w:r w:rsidR="005A23BB" w:rsidRPr="0013319C">
        <w:rPr>
          <w:lang w:val="es-ES"/>
        </w:rPr>
        <w:t>se toma en serio los comportamientos discriminatorios</w:t>
      </w:r>
      <w:r w:rsidR="008919FF" w:rsidRPr="0013319C">
        <w:rPr>
          <w:lang w:val="es-ES"/>
        </w:rPr>
        <w:t xml:space="preserve"> – incluyendo discriminación, acoso discriminatorio, acoso sexual, </w:t>
      </w:r>
      <w:r w:rsidR="00373E70" w:rsidRPr="0013319C">
        <w:rPr>
          <w:lang w:val="es-ES"/>
        </w:rPr>
        <w:t>conducta se</w:t>
      </w:r>
      <w:r w:rsidR="00FE6F7E">
        <w:rPr>
          <w:lang w:val="es-ES"/>
        </w:rPr>
        <w:t>x</w:t>
      </w:r>
      <w:r w:rsidR="00373E70" w:rsidRPr="0013319C">
        <w:rPr>
          <w:lang w:val="es-ES"/>
        </w:rPr>
        <w:t xml:space="preserve">ual inadecuada, violencia de pareja sentimental, y acecho – y está comprometido </w:t>
      </w:r>
      <w:r w:rsidR="003F7734" w:rsidRPr="0013319C">
        <w:rPr>
          <w:lang w:val="es-ES"/>
        </w:rPr>
        <w:t xml:space="preserve">a proporcionar recursos y apoyo dirigidos a </w:t>
      </w:r>
      <w:r w:rsidR="00FE6F7E">
        <w:rPr>
          <w:lang w:val="es-ES"/>
        </w:rPr>
        <w:t xml:space="preserve">paliar </w:t>
      </w:r>
      <w:r w:rsidR="003F7734" w:rsidRPr="0013319C">
        <w:rPr>
          <w:lang w:val="es-ES"/>
        </w:rPr>
        <w:t xml:space="preserve">las consecuencias dañinas </w:t>
      </w:r>
      <w:r w:rsidR="00DE1561" w:rsidRPr="0013319C">
        <w:rPr>
          <w:lang w:val="es-ES"/>
        </w:rPr>
        <w:t xml:space="preserve">de estos comportamientos y evitar que se repitan. </w:t>
      </w:r>
      <w:r w:rsidR="00DE1B0E" w:rsidRPr="0013319C">
        <w:rPr>
          <w:lang w:val="es-ES"/>
        </w:rPr>
        <w:t xml:space="preserve">Aquí hay algunos recursos que te pueden ayudar a saber más sobre las formas en las que MIT te puede ayudar: </w:t>
      </w:r>
    </w:p>
    <w:p w14:paraId="02D5F051" w14:textId="50EC1840" w:rsidR="00E238E8" w:rsidRPr="0013319C" w:rsidRDefault="00DE1B0E" w:rsidP="00E238E8">
      <w:pPr>
        <w:pStyle w:val="ListParagraph"/>
        <w:numPr>
          <w:ilvl w:val="0"/>
          <w:numId w:val="6"/>
        </w:numPr>
        <w:rPr>
          <w:lang w:val="es-ES"/>
        </w:rPr>
      </w:pPr>
      <w:r w:rsidRPr="0013319C">
        <w:rPr>
          <w:lang w:val="es-ES"/>
        </w:rPr>
        <w:t>Habla con un Recurso Confidencial</w:t>
      </w:r>
      <w:r w:rsidR="00E238E8" w:rsidRPr="0013319C">
        <w:rPr>
          <w:lang w:val="es-ES"/>
        </w:rPr>
        <w:t xml:space="preserve">; </w:t>
      </w:r>
    </w:p>
    <w:p w14:paraId="3FBD376D" w14:textId="6E09A8ED" w:rsidR="00E238E8" w:rsidRPr="0013319C" w:rsidRDefault="00DE1B0E" w:rsidP="00E238E8">
      <w:pPr>
        <w:pStyle w:val="ListParagraph"/>
        <w:numPr>
          <w:ilvl w:val="0"/>
          <w:numId w:val="6"/>
        </w:numPr>
        <w:rPr>
          <w:lang w:val="es-ES"/>
        </w:rPr>
      </w:pPr>
      <w:r w:rsidRPr="0013319C">
        <w:rPr>
          <w:lang w:val="es-ES"/>
        </w:rPr>
        <w:t>Habla con</w:t>
      </w:r>
      <w:r w:rsidR="00E238E8" w:rsidRPr="0013319C">
        <w:rPr>
          <w:lang w:val="es-ES"/>
        </w:rPr>
        <w:t xml:space="preserve"> IDHR; </w:t>
      </w:r>
    </w:p>
    <w:p w14:paraId="0553298E" w14:textId="78FA51E8" w:rsidR="00E238E8" w:rsidRPr="0013319C" w:rsidRDefault="00DE1B0E" w:rsidP="00E238E8">
      <w:pPr>
        <w:pStyle w:val="ListParagraph"/>
        <w:numPr>
          <w:ilvl w:val="0"/>
          <w:numId w:val="6"/>
        </w:numPr>
        <w:rPr>
          <w:lang w:val="es-ES"/>
        </w:rPr>
      </w:pPr>
      <w:r w:rsidRPr="0013319C">
        <w:rPr>
          <w:lang w:val="es-ES"/>
        </w:rPr>
        <w:t xml:space="preserve">Habla con el profesional de Recursos Humanos </w:t>
      </w:r>
      <w:r w:rsidR="009C7744" w:rsidRPr="0013319C">
        <w:rPr>
          <w:lang w:val="es-ES"/>
        </w:rPr>
        <w:t>de</w:t>
      </w:r>
      <w:r w:rsidRPr="0013319C">
        <w:rPr>
          <w:lang w:val="es-ES"/>
        </w:rPr>
        <w:t xml:space="preserve"> tu </w:t>
      </w:r>
      <w:r w:rsidR="00E238E8" w:rsidRPr="0013319C">
        <w:rPr>
          <w:lang w:val="es-ES"/>
        </w:rPr>
        <w:t xml:space="preserve">DLC; </w:t>
      </w:r>
    </w:p>
    <w:p w14:paraId="2A84AB25" w14:textId="2F6C9533" w:rsidR="00E238E8" w:rsidRPr="0013319C" w:rsidRDefault="00EE1984" w:rsidP="00E238E8">
      <w:pPr>
        <w:pStyle w:val="ListParagraph"/>
        <w:numPr>
          <w:ilvl w:val="0"/>
          <w:numId w:val="6"/>
        </w:numPr>
        <w:rPr>
          <w:lang w:val="es-ES"/>
        </w:rPr>
      </w:pPr>
      <w:r w:rsidRPr="0013319C">
        <w:rPr>
          <w:lang w:val="es-ES"/>
        </w:rPr>
        <w:t xml:space="preserve">Habla con </w:t>
      </w:r>
      <w:r w:rsidR="003137D2" w:rsidRPr="0013319C">
        <w:rPr>
          <w:lang w:val="es-ES"/>
        </w:rPr>
        <w:t xml:space="preserve">algún Agente de Recursos Humanos que esté adscrito a tu DLC en </w:t>
      </w:r>
      <w:r w:rsidR="00957C6B">
        <w:rPr>
          <w:lang w:val="es-ES"/>
        </w:rPr>
        <w:t xml:space="preserve">la </w:t>
      </w:r>
      <w:r w:rsidR="00D568EC" w:rsidRPr="0013319C">
        <w:rPr>
          <w:lang w:val="es-ES"/>
        </w:rPr>
        <w:t>Central</w:t>
      </w:r>
      <w:r w:rsidR="00957C6B">
        <w:rPr>
          <w:lang w:val="es-ES"/>
        </w:rPr>
        <w:t xml:space="preserve"> de</w:t>
      </w:r>
      <w:r w:rsidR="00D568EC" w:rsidRPr="0013319C">
        <w:rPr>
          <w:lang w:val="es-ES"/>
        </w:rPr>
        <w:t xml:space="preserve"> </w:t>
      </w:r>
      <w:r w:rsidR="00957C6B">
        <w:rPr>
          <w:lang w:val="es-ES"/>
        </w:rPr>
        <w:t>RRHH</w:t>
      </w:r>
      <w:r w:rsidR="00D568EC" w:rsidRPr="0013319C">
        <w:rPr>
          <w:lang w:val="es-ES"/>
        </w:rPr>
        <w:t xml:space="preserve">. </w:t>
      </w:r>
    </w:p>
    <w:p w14:paraId="6AAECEAA" w14:textId="3839A650" w:rsidR="00E238E8" w:rsidRPr="0013319C" w:rsidRDefault="00983BEF" w:rsidP="00E238E8">
      <w:pPr>
        <w:rPr>
          <w:lang w:val="es-ES"/>
        </w:rPr>
      </w:pPr>
      <w:r w:rsidRPr="0013319C">
        <w:rPr>
          <w:lang w:val="es-ES"/>
        </w:rPr>
        <w:t xml:space="preserve">Puedes hablar con cualquiera de estos recursos para </w:t>
      </w:r>
      <w:r w:rsidR="002A4184" w:rsidRPr="0013319C">
        <w:rPr>
          <w:lang w:val="es-ES"/>
        </w:rPr>
        <w:t xml:space="preserve">saber más sobre políticas, procedimientos, medidas de apoyo, vías </w:t>
      </w:r>
      <w:r w:rsidR="005F1E83" w:rsidRPr="0013319C">
        <w:rPr>
          <w:lang w:val="es-ES"/>
        </w:rPr>
        <w:t>para la resolución de conflicto informales/alternativas, e</w:t>
      </w:r>
      <w:r w:rsidR="0098057F">
        <w:rPr>
          <w:lang w:val="es-ES"/>
        </w:rPr>
        <w:t xml:space="preserve"> </w:t>
      </w:r>
      <w:r w:rsidR="005F1E83" w:rsidRPr="0013319C">
        <w:rPr>
          <w:lang w:val="es-ES"/>
        </w:rPr>
        <w:t>investigaciones formales.</w:t>
      </w:r>
      <w:r w:rsidR="002A4184" w:rsidRPr="0013319C">
        <w:rPr>
          <w:lang w:val="es-ES"/>
        </w:rPr>
        <w:t xml:space="preserve"> </w:t>
      </w:r>
    </w:p>
    <w:p w14:paraId="09065C0D" w14:textId="77777777" w:rsidR="00E238E8" w:rsidRPr="0013319C" w:rsidRDefault="00E238E8" w:rsidP="00E238E8">
      <w:pPr>
        <w:rPr>
          <w:lang w:val="es-ES"/>
        </w:rPr>
      </w:pPr>
    </w:p>
    <w:p w14:paraId="09C98B1F" w14:textId="5B87BD0F" w:rsidR="00E238E8" w:rsidRPr="0013319C" w:rsidRDefault="00E27608" w:rsidP="00E238E8">
      <w:pPr>
        <w:rPr>
          <w:lang w:val="es-ES"/>
        </w:rPr>
      </w:pPr>
      <w:r w:rsidRPr="0013319C">
        <w:rPr>
          <w:lang w:val="es-ES"/>
        </w:rPr>
        <w:t>Nota Sobre las Represalias</w:t>
      </w:r>
      <w:r w:rsidR="00EB5AD0" w:rsidRPr="0013319C">
        <w:rPr>
          <w:lang w:val="es-ES"/>
        </w:rPr>
        <w:t xml:space="preserve">: </w:t>
      </w:r>
    </w:p>
    <w:p w14:paraId="354292D1" w14:textId="6E773E78" w:rsidR="00E238E8" w:rsidRPr="0013319C" w:rsidRDefault="001B3A83" w:rsidP="00E238E8">
      <w:pPr>
        <w:rPr>
          <w:lang w:val="es-ES"/>
        </w:rPr>
      </w:pPr>
      <w:r w:rsidRPr="0013319C">
        <w:rPr>
          <w:lang w:val="es-ES"/>
        </w:rPr>
        <w:t>Nadie debe sufrir represalias</w:t>
      </w:r>
      <w:r w:rsidR="00F26645" w:rsidRPr="0013319C">
        <w:rPr>
          <w:lang w:val="es-ES"/>
        </w:rPr>
        <w:t xml:space="preserve"> por hacer una denuncia de buena fe de la violación </w:t>
      </w:r>
      <w:r w:rsidR="00D02E37">
        <w:rPr>
          <w:lang w:val="es-ES"/>
        </w:rPr>
        <w:t>de</w:t>
      </w:r>
      <w:r w:rsidR="00F26645" w:rsidRPr="0013319C">
        <w:rPr>
          <w:lang w:val="es-ES"/>
        </w:rPr>
        <w:t xml:space="preserve"> alguna política del MIT</w:t>
      </w:r>
      <w:r w:rsidR="00E238E8" w:rsidRPr="0013319C">
        <w:rPr>
          <w:lang w:val="es-ES"/>
        </w:rPr>
        <w:t xml:space="preserve">, </w:t>
      </w:r>
      <w:r w:rsidR="00F26645" w:rsidRPr="0013319C">
        <w:rPr>
          <w:lang w:val="es-ES"/>
        </w:rPr>
        <w:t xml:space="preserve">por participar en </w:t>
      </w:r>
      <w:r w:rsidR="00200119" w:rsidRPr="0013319C">
        <w:rPr>
          <w:lang w:val="es-ES"/>
        </w:rPr>
        <w:t>un</w:t>
      </w:r>
      <w:r w:rsidR="00F26645" w:rsidRPr="0013319C">
        <w:rPr>
          <w:lang w:val="es-ES"/>
        </w:rPr>
        <w:t xml:space="preserve"> procedimiento de resolución de denuncias </w:t>
      </w:r>
      <w:r w:rsidR="003407A3" w:rsidRPr="0013319C">
        <w:rPr>
          <w:lang w:val="es-ES"/>
        </w:rPr>
        <w:t xml:space="preserve">del Instituto (sea como denunciante, testigo, investigador/a, o en cualquier otra calidad), o por oponerse </w:t>
      </w:r>
      <w:r w:rsidR="000468A6" w:rsidRPr="0013319C">
        <w:rPr>
          <w:lang w:val="es-ES"/>
        </w:rPr>
        <w:t xml:space="preserve">a la violación </w:t>
      </w:r>
      <w:r w:rsidR="00D02E37">
        <w:rPr>
          <w:lang w:val="es-ES"/>
        </w:rPr>
        <w:t>de</w:t>
      </w:r>
      <w:r w:rsidR="000468A6" w:rsidRPr="0013319C">
        <w:rPr>
          <w:lang w:val="es-ES"/>
        </w:rPr>
        <w:t xml:space="preserve"> alguna política del MIT. </w:t>
      </w:r>
      <w:r w:rsidR="0093162B" w:rsidRPr="0013319C">
        <w:rPr>
          <w:lang w:val="es-ES"/>
        </w:rPr>
        <w:t xml:space="preserve">Una represalia es cualquier acción adversa, acoso, amenazas u otras conductas que </w:t>
      </w:r>
      <w:r w:rsidR="00644AC6" w:rsidRPr="0013319C">
        <w:rPr>
          <w:lang w:val="es-ES"/>
        </w:rPr>
        <w:t xml:space="preserve">puedan disuadir a una persona razonable </w:t>
      </w:r>
      <w:r w:rsidR="00D75DB4" w:rsidRPr="0013319C">
        <w:rPr>
          <w:lang w:val="es-ES"/>
        </w:rPr>
        <w:t>de hacer una denuncia o de participar de cualquier otra forma en un procedimiento de resolución de denuncia</w:t>
      </w:r>
      <w:r w:rsidR="00043709" w:rsidRPr="0013319C">
        <w:rPr>
          <w:lang w:val="es-ES"/>
        </w:rPr>
        <w:t>s.</w:t>
      </w:r>
      <w:r w:rsidR="00D75DB4" w:rsidRPr="0013319C">
        <w:rPr>
          <w:lang w:val="es-ES"/>
        </w:rPr>
        <w:t xml:space="preserve"> </w:t>
      </w:r>
      <w:r w:rsidR="00043709" w:rsidRPr="0013319C">
        <w:rPr>
          <w:lang w:val="es-ES"/>
        </w:rPr>
        <w:t xml:space="preserve">Las represalias pueden tener lugar incluso cuando no se encuentre ninguna violación </w:t>
      </w:r>
      <w:r w:rsidR="00386FF0">
        <w:rPr>
          <w:lang w:val="es-ES"/>
        </w:rPr>
        <w:t xml:space="preserve">hecha </w:t>
      </w:r>
      <w:r w:rsidR="00043709" w:rsidRPr="0013319C">
        <w:rPr>
          <w:lang w:val="es-ES"/>
        </w:rPr>
        <w:t xml:space="preserve">a </w:t>
      </w:r>
      <w:r w:rsidR="00EF55E5" w:rsidRPr="0013319C">
        <w:rPr>
          <w:lang w:val="es-ES"/>
        </w:rPr>
        <w:t xml:space="preserve">políticas, y las denuncias de represalias serán abordadas de forma independiente por medio del procedimiento de resolución de denuncias de MIT. </w:t>
      </w:r>
    </w:p>
    <w:p w14:paraId="10679E80" w14:textId="6EB1C5D8" w:rsidR="00E238E8" w:rsidRPr="0013319C" w:rsidRDefault="00E238E8" w:rsidP="00E238E8">
      <w:pPr>
        <w:rPr>
          <w:lang w:val="es-ES"/>
        </w:rPr>
      </w:pPr>
    </w:p>
    <w:p w14:paraId="34FFEF99" w14:textId="59978B6F" w:rsidR="00E238E8" w:rsidRPr="0013319C" w:rsidRDefault="00E238E8" w:rsidP="00E238E8">
      <w:pPr>
        <w:rPr>
          <w:lang w:val="es-ES"/>
        </w:rPr>
      </w:pPr>
    </w:p>
    <w:p w14:paraId="59C813B8" w14:textId="075D3755" w:rsidR="00E238E8" w:rsidRPr="0013319C" w:rsidRDefault="00923CB9" w:rsidP="00E238E8">
      <w:pPr>
        <w:rPr>
          <w:b/>
          <w:bCs/>
          <w:lang w:val="es-ES"/>
        </w:rPr>
      </w:pPr>
      <w:r w:rsidRPr="0013319C">
        <w:rPr>
          <w:b/>
          <w:bCs/>
          <w:lang w:val="es-ES"/>
        </w:rPr>
        <w:t>¿Y qué Pasa con el Acoso Sexual</w:t>
      </w:r>
      <w:r w:rsidR="00E238E8" w:rsidRPr="0013319C">
        <w:rPr>
          <w:b/>
          <w:bCs/>
          <w:lang w:val="es-ES"/>
        </w:rPr>
        <w:t>?</w:t>
      </w:r>
    </w:p>
    <w:p w14:paraId="397491C0" w14:textId="5CD57393" w:rsidR="00E238E8" w:rsidRPr="0013319C" w:rsidRDefault="00923CB9" w:rsidP="00E238E8">
      <w:pPr>
        <w:rPr>
          <w:lang w:val="es-ES"/>
        </w:rPr>
      </w:pPr>
      <w:r w:rsidRPr="0013319C">
        <w:rPr>
          <w:lang w:val="es-ES"/>
        </w:rPr>
        <w:t xml:space="preserve">El Acoso Sexual es una conducta no deseada de naturaleza sexual, cuando: </w:t>
      </w:r>
    </w:p>
    <w:p w14:paraId="4E55396B" w14:textId="2CDCAF1B" w:rsidR="00E238E8" w:rsidRPr="0013319C" w:rsidRDefault="00CF6F5B" w:rsidP="00E238E8">
      <w:pPr>
        <w:pStyle w:val="ListParagraph"/>
        <w:numPr>
          <w:ilvl w:val="0"/>
          <w:numId w:val="4"/>
        </w:numPr>
        <w:rPr>
          <w:lang w:val="es-ES"/>
        </w:rPr>
      </w:pPr>
      <w:r w:rsidRPr="0013319C">
        <w:rPr>
          <w:lang w:val="es-ES"/>
        </w:rPr>
        <w:t>El sometimiento a dicha conducta</w:t>
      </w:r>
      <w:r w:rsidR="0068206B" w:rsidRPr="0013319C">
        <w:rPr>
          <w:lang w:val="es-ES"/>
        </w:rPr>
        <w:t>, tanto explícita como implícitamente,</w:t>
      </w:r>
      <w:r w:rsidRPr="0013319C">
        <w:rPr>
          <w:lang w:val="es-ES"/>
        </w:rPr>
        <w:t xml:space="preserve"> sea </w:t>
      </w:r>
      <w:r w:rsidR="00210C61" w:rsidRPr="0013319C">
        <w:rPr>
          <w:lang w:val="es-ES"/>
        </w:rPr>
        <w:t xml:space="preserve">una condición </w:t>
      </w:r>
      <w:r w:rsidR="0068206B" w:rsidRPr="0013319C">
        <w:rPr>
          <w:lang w:val="es-ES"/>
        </w:rPr>
        <w:t xml:space="preserve">para el empleo o </w:t>
      </w:r>
      <w:r w:rsidR="00A03774" w:rsidRPr="0013319C">
        <w:rPr>
          <w:lang w:val="es-ES"/>
        </w:rPr>
        <w:t xml:space="preserve">la </w:t>
      </w:r>
      <w:r w:rsidR="0068206B" w:rsidRPr="0013319C">
        <w:rPr>
          <w:lang w:val="es-ES"/>
        </w:rPr>
        <w:t xml:space="preserve">situación académica de una persona </w:t>
      </w:r>
    </w:p>
    <w:p w14:paraId="55DF9B0B" w14:textId="478CC933" w:rsidR="00E238E8" w:rsidRPr="0013319C" w:rsidRDefault="00A03774" w:rsidP="00E238E8">
      <w:pPr>
        <w:pStyle w:val="ListParagraph"/>
        <w:numPr>
          <w:ilvl w:val="0"/>
          <w:numId w:val="4"/>
        </w:numPr>
        <w:rPr>
          <w:lang w:val="es-ES"/>
        </w:rPr>
      </w:pPr>
      <w:r w:rsidRPr="0013319C">
        <w:rPr>
          <w:lang w:val="es-ES"/>
        </w:rPr>
        <w:t xml:space="preserve">El sometimiento a o el rechazo de tal conducta </w:t>
      </w:r>
      <w:r w:rsidR="003C6349" w:rsidRPr="0013319C">
        <w:rPr>
          <w:lang w:val="es-ES"/>
        </w:rPr>
        <w:t xml:space="preserve">por una persona sean usados como la base </w:t>
      </w:r>
      <w:r w:rsidR="00BB1A85" w:rsidRPr="0013319C">
        <w:rPr>
          <w:lang w:val="es-ES"/>
        </w:rPr>
        <w:t xml:space="preserve">para </w:t>
      </w:r>
      <w:r w:rsidR="00FA560F" w:rsidRPr="0013319C">
        <w:rPr>
          <w:lang w:val="es-ES"/>
        </w:rPr>
        <w:t xml:space="preserve">tomar </w:t>
      </w:r>
      <w:r w:rsidR="00BB1A85" w:rsidRPr="0013319C">
        <w:rPr>
          <w:lang w:val="es-ES"/>
        </w:rPr>
        <w:t xml:space="preserve">importantes decisiones </w:t>
      </w:r>
      <w:r w:rsidR="006C1EFD" w:rsidRPr="0013319C">
        <w:rPr>
          <w:lang w:val="es-ES"/>
        </w:rPr>
        <w:t>laborales (como promoci</w:t>
      </w:r>
      <w:r w:rsidR="00F017FA" w:rsidRPr="0013319C">
        <w:rPr>
          <w:lang w:val="es-ES"/>
        </w:rPr>
        <w:t>o</w:t>
      </w:r>
      <w:r w:rsidR="006C1EFD" w:rsidRPr="0013319C">
        <w:rPr>
          <w:lang w:val="es-ES"/>
        </w:rPr>
        <w:t>n</w:t>
      </w:r>
      <w:r w:rsidR="00F017FA" w:rsidRPr="0013319C">
        <w:rPr>
          <w:lang w:val="es-ES"/>
        </w:rPr>
        <w:t>es</w:t>
      </w:r>
      <w:r w:rsidR="006C1EFD" w:rsidRPr="0013319C">
        <w:rPr>
          <w:lang w:val="es-ES"/>
        </w:rPr>
        <w:t>, evaluaci</w:t>
      </w:r>
      <w:r w:rsidR="00F017FA" w:rsidRPr="0013319C">
        <w:rPr>
          <w:lang w:val="es-ES"/>
        </w:rPr>
        <w:t>ones de desempeño</w:t>
      </w:r>
      <w:r w:rsidR="00FA560F" w:rsidRPr="0013319C">
        <w:rPr>
          <w:lang w:val="es-ES"/>
        </w:rPr>
        <w:t xml:space="preserve"> </w:t>
      </w:r>
      <w:r w:rsidR="00F017FA" w:rsidRPr="0013319C">
        <w:rPr>
          <w:lang w:val="es-ES"/>
        </w:rPr>
        <w:t xml:space="preserve">u horarios de trabajo) </w:t>
      </w:r>
      <w:r w:rsidR="00F401C1" w:rsidRPr="0013319C">
        <w:rPr>
          <w:lang w:val="es-ES"/>
        </w:rPr>
        <w:t xml:space="preserve">o académicas </w:t>
      </w:r>
      <w:r w:rsidR="00E238E8" w:rsidRPr="0013319C">
        <w:rPr>
          <w:lang w:val="es-ES"/>
        </w:rPr>
        <w:t>(</w:t>
      </w:r>
      <w:r w:rsidR="00F401C1" w:rsidRPr="0013319C">
        <w:rPr>
          <w:lang w:val="es-ES"/>
        </w:rPr>
        <w:t xml:space="preserve">como calificaciones o cartas de recomendación) que afecten </w:t>
      </w:r>
      <w:r w:rsidR="00FA560F" w:rsidRPr="0013319C">
        <w:rPr>
          <w:lang w:val="es-ES"/>
        </w:rPr>
        <w:t>a esa persona</w:t>
      </w:r>
      <w:r w:rsidR="00F401C1" w:rsidRPr="0013319C">
        <w:rPr>
          <w:lang w:val="es-ES"/>
        </w:rPr>
        <w:t>.</w:t>
      </w:r>
      <w:r w:rsidR="00E238E8" w:rsidRPr="0013319C">
        <w:rPr>
          <w:lang w:val="es-ES"/>
        </w:rPr>
        <w:t xml:space="preserve"> </w:t>
      </w:r>
    </w:p>
    <w:p w14:paraId="18297671" w14:textId="77777777" w:rsidR="00EB5AD0" w:rsidRPr="0013319C" w:rsidRDefault="00EB5AD0" w:rsidP="00E238E8">
      <w:pPr>
        <w:rPr>
          <w:lang w:val="es-ES"/>
        </w:rPr>
      </w:pPr>
    </w:p>
    <w:p w14:paraId="27A934AB" w14:textId="7AC8AFEC" w:rsidR="00E238E8" w:rsidRPr="0013319C" w:rsidRDefault="00FA560F" w:rsidP="00E238E8">
      <w:pPr>
        <w:rPr>
          <w:lang w:val="es-ES"/>
        </w:rPr>
      </w:pPr>
      <w:r w:rsidRPr="0013319C">
        <w:rPr>
          <w:lang w:val="es-ES"/>
        </w:rPr>
        <w:t>La conducta es lo suficientemente grave o</w:t>
      </w:r>
      <w:r w:rsidR="00E238E8" w:rsidRPr="0013319C">
        <w:rPr>
          <w:lang w:val="es-ES"/>
        </w:rPr>
        <w:t xml:space="preserve"> </w:t>
      </w:r>
      <w:r w:rsidR="00EF1837" w:rsidRPr="0013319C">
        <w:rPr>
          <w:lang w:val="es-ES"/>
        </w:rPr>
        <w:t xml:space="preserve">generalizada </w:t>
      </w:r>
      <w:r w:rsidR="001471FF">
        <w:rPr>
          <w:lang w:val="es-ES"/>
        </w:rPr>
        <w:t xml:space="preserve">como para </w:t>
      </w:r>
      <w:r w:rsidR="00EF1837" w:rsidRPr="0013319C">
        <w:rPr>
          <w:lang w:val="es-ES"/>
        </w:rPr>
        <w:t>que una persona razonable la consider</w:t>
      </w:r>
      <w:r w:rsidR="001471FF">
        <w:rPr>
          <w:lang w:val="es-ES"/>
        </w:rPr>
        <w:t>e</w:t>
      </w:r>
      <w:r w:rsidR="00EF1837" w:rsidRPr="0013319C">
        <w:rPr>
          <w:lang w:val="es-ES"/>
        </w:rPr>
        <w:t xml:space="preserve"> intimidatoria, hostil o abusiva, </w:t>
      </w:r>
      <w:r w:rsidR="009D48BA" w:rsidRPr="0013319C">
        <w:rPr>
          <w:lang w:val="es-ES"/>
        </w:rPr>
        <w:t>y afect</w:t>
      </w:r>
      <w:r w:rsidR="001471FF">
        <w:rPr>
          <w:lang w:val="es-ES"/>
        </w:rPr>
        <w:t>e</w:t>
      </w:r>
      <w:r w:rsidR="009D48BA" w:rsidRPr="0013319C">
        <w:rPr>
          <w:lang w:val="es-ES"/>
        </w:rPr>
        <w:t xml:space="preserve"> adversamente al entorno educativo, laboral o de la vida de la persona.</w:t>
      </w:r>
      <w:r w:rsidR="00E238E8" w:rsidRPr="0013319C">
        <w:rPr>
          <w:lang w:val="es-ES"/>
        </w:rPr>
        <w:t xml:space="preserve"> </w:t>
      </w:r>
    </w:p>
    <w:p w14:paraId="692F5A02" w14:textId="77777777" w:rsidR="00EB5AD0" w:rsidRPr="0013319C" w:rsidRDefault="00EB5AD0" w:rsidP="00E238E8">
      <w:pPr>
        <w:rPr>
          <w:lang w:val="es-ES"/>
        </w:rPr>
      </w:pPr>
    </w:p>
    <w:p w14:paraId="1FCF5FEA" w14:textId="69A83144" w:rsidR="00E238E8" w:rsidRPr="0013319C" w:rsidRDefault="005060A0" w:rsidP="00E238E8">
      <w:pPr>
        <w:rPr>
          <w:lang w:val="es-ES"/>
        </w:rPr>
      </w:pPr>
      <w:r w:rsidRPr="0013319C">
        <w:rPr>
          <w:lang w:val="es-ES"/>
        </w:rPr>
        <w:lastRenderedPageBreak/>
        <w:t xml:space="preserve">Existe un subgrupo de casos de Acoso Sexual que </w:t>
      </w:r>
      <w:r w:rsidR="00D9493F" w:rsidRPr="0013319C">
        <w:rPr>
          <w:lang w:val="es-ES"/>
        </w:rPr>
        <w:t>podrían ajustarse a la definición del Título IX, u</w:t>
      </w:r>
      <w:r w:rsidR="00C72F33" w:rsidRPr="0013319C">
        <w:rPr>
          <w:lang w:val="es-ES"/>
        </w:rPr>
        <w:t>n</w:t>
      </w:r>
      <w:r w:rsidR="00D9493F" w:rsidRPr="0013319C">
        <w:rPr>
          <w:lang w:val="es-ES"/>
        </w:rPr>
        <w:t xml:space="preserve">a ley federal que prohíbe la discriminación </w:t>
      </w:r>
      <w:r w:rsidR="00C72F33" w:rsidRPr="0013319C">
        <w:rPr>
          <w:lang w:val="es-ES"/>
        </w:rPr>
        <w:t>por género</w:t>
      </w:r>
      <w:r w:rsidR="00E238E8" w:rsidRPr="0013319C">
        <w:rPr>
          <w:lang w:val="es-ES"/>
        </w:rPr>
        <w:t xml:space="preserve">. </w:t>
      </w:r>
      <w:r w:rsidR="00C72F33" w:rsidRPr="0013319C">
        <w:rPr>
          <w:lang w:val="es-ES"/>
        </w:rPr>
        <w:t>Visita la página web de</w:t>
      </w:r>
      <w:r w:rsidR="00E238E8" w:rsidRPr="0013319C">
        <w:rPr>
          <w:lang w:val="es-ES"/>
        </w:rPr>
        <w:t xml:space="preserve"> IDHR </w:t>
      </w:r>
      <w:r w:rsidR="00C72F33" w:rsidRPr="0013319C">
        <w:rPr>
          <w:lang w:val="es-ES"/>
        </w:rPr>
        <w:t xml:space="preserve">para ver una descripción completa de las políticas y procedimientos del Título IX. </w:t>
      </w:r>
    </w:p>
    <w:p w14:paraId="4AB4EC2F" w14:textId="0B295C50" w:rsidR="00E238E8" w:rsidRPr="0013319C" w:rsidRDefault="00E238E8" w:rsidP="00E238E8">
      <w:pPr>
        <w:rPr>
          <w:lang w:val="es-ES"/>
        </w:rPr>
      </w:pPr>
    </w:p>
    <w:p w14:paraId="568A0732" w14:textId="7FD99104" w:rsidR="00E238E8" w:rsidRPr="0013319C" w:rsidRDefault="00C72F33" w:rsidP="00E238E8">
      <w:pPr>
        <w:rPr>
          <w:b/>
          <w:bCs/>
          <w:lang w:val="es-ES"/>
        </w:rPr>
      </w:pPr>
      <w:r w:rsidRPr="0013319C">
        <w:rPr>
          <w:b/>
          <w:bCs/>
          <w:lang w:val="es-ES"/>
        </w:rPr>
        <w:t>¿Qué Aspecto Tendría</w:t>
      </w:r>
      <w:r w:rsidR="00EB5AD0" w:rsidRPr="0013319C">
        <w:rPr>
          <w:b/>
          <w:bCs/>
          <w:lang w:val="es-ES"/>
        </w:rPr>
        <w:t xml:space="preserve">? </w:t>
      </w:r>
    </w:p>
    <w:p w14:paraId="0CABE544" w14:textId="43B79398" w:rsidR="00E238E8" w:rsidRPr="0013319C" w:rsidRDefault="00D36B7E" w:rsidP="00E238E8">
      <w:pPr>
        <w:rPr>
          <w:lang w:val="es-ES"/>
        </w:rPr>
      </w:pPr>
      <w:r w:rsidRPr="0013319C">
        <w:rPr>
          <w:lang w:val="es-ES"/>
        </w:rPr>
        <w:t xml:space="preserve">Una lista parcial de ejemplos de conductas que podrían considerarse </w:t>
      </w:r>
      <w:r w:rsidR="001C6AE9" w:rsidRPr="0013319C">
        <w:rPr>
          <w:lang w:val="es-ES"/>
        </w:rPr>
        <w:t>como constitutivas de</w:t>
      </w:r>
      <w:r w:rsidRPr="0013319C">
        <w:rPr>
          <w:lang w:val="es-ES"/>
        </w:rPr>
        <w:t xml:space="preserve"> acoso sexual verbal y no verbal </w:t>
      </w:r>
      <w:r w:rsidR="001C6AE9" w:rsidRPr="0013319C">
        <w:rPr>
          <w:lang w:val="es-ES"/>
        </w:rPr>
        <w:t xml:space="preserve">si son lo suficientemente graves o generalizadas incluye: </w:t>
      </w:r>
    </w:p>
    <w:p w14:paraId="1F264EA9" w14:textId="7B70C7AA" w:rsidR="00E238E8" w:rsidRPr="0013319C" w:rsidRDefault="00B74566" w:rsidP="00E238E8">
      <w:pPr>
        <w:pStyle w:val="ListParagraph"/>
        <w:numPr>
          <w:ilvl w:val="0"/>
          <w:numId w:val="2"/>
        </w:numPr>
        <w:rPr>
          <w:lang w:val="es-ES"/>
        </w:rPr>
      </w:pPr>
      <w:r w:rsidRPr="0013319C">
        <w:rPr>
          <w:lang w:val="es-ES"/>
        </w:rPr>
        <w:t>insinuaciones o propuestas de actividad</w:t>
      </w:r>
      <w:r w:rsidR="007A50E8" w:rsidRPr="0013319C">
        <w:rPr>
          <w:lang w:val="es-ES"/>
        </w:rPr>
        <w:t>es</w:t>
      </w:r>
      <w:r w:rsidRPr="0013319C">
        <w:rPr>
          <w:lang w:val="es-ES"/>
        </w:rPr>
        <w:t xml:space="preserve"> </w:t>
      </w:r>
      <w:r w:rsidR="007A50E8" w:rsidRPr="0013319C">
        <w:rPr>
          <w:lang w:val="es-ES"/>
        </w:rPr>
        <w:t xml:space="preserve">o citas </w:t>
      </w:r>
      <w:r w:rsidRPr="0013319C">
        <w:rPr>
          <w:lang w:val="es-ES"/>
        </w:rPr>
        <w:t>sexual</w:t>
      </w:r>
      <w:r w:rsidR="007A50E8" w:rsidRPr="0013319C">
        <w:rPr>
          <w:lang w:val="es-ES"/>
        </w:rPr>
        <w:t>es;</w:t>
      </w:r>
      <w:r w:rsidRPr="0013319C">
        <w:rPr>
          <w:lang w:val="es-ES"/>
        </w:rPr>
        <w:t xml:space="preserve"> </w:t>
      </w:r>
    </w:p>
    <w:p w14:paraId="012585EC" w14:textId="6C9C9211" w:rsidR="00E238E8" w:rsidRPr="0013319C" w:rsidRDefault="005E4DFF" w:rsidP="00E238E8">
      <w:pPr>
        <w:pStyle w:val="ListParagraph"/>
        <w:numPr>
          <w:ilvl w:val="0"/>
          <w:numId w:val="2"/>
        </w:numPr>
        <w:rPr>
          <w:lang w:val="es-ES"/>
        </w:rPr>
      </w:pPr>
      <w:r w:rsidRPr="0013319C">
        <w:rPr>
          <w:lang w:val="es-ES"/>
        </w:rPr>
        <w:t xml:space="preserve">comentarios insinuantes y/o chistes explícitamente sexuales; </w:t>
      </w:r>
    </w:p>
    <w:p w14:paraId="6BDF6C68" w14:textId="5156EC4C" w:rsidR="00E238E8" w:rsidRPr="0013319C" w:rsidRDefault="002D41F2" w:rsidP="00E238E8">
      <w:pPr>
        <w:pStyle w:val="ListParagraph"/>
        <w:numPr>
          <w:ilvl w:val="0"/>
          <w:numId w:val="2"/>
        </w:numPr>
        <w:rPr>
          <w:lang w:val="es-ES"/>
        </w:rPr>
      </w:pPr>
      <w:r w:rsidRPr="0013319C">
        <w:rPr>
          <w:lang w:val="es-ES"/>
        </w:rPr>
        <w:t>desviar</w:t>
      </w:r>
      <w:r w:rsidR="00E87B24" w:rsidRPr="0013319C">
        <w:rPr>
          <w:lang w:val="es-ES"/>
        </w:rPr>
        <w:t xml:space="preserve"> las conversaciones en el entorno laboral </w:t>
      </w:r>
      <w:r w:rsidRPr="0013319C">
        <w:rPr>
          <w:lang w:val="es-ES"/>
        </w:rPr>
        <w:t>a temas sexuales</w:t>
      </w:r>
      <w:r w:rsidR="00E238E8" w:rsidRPr="0013319C">
        <w:rPr>
          <w:lang w:val="es-ES"/>
        </w:rPr>
        <w:t>;</w:t>
      </w:r>
    </w:p>
    <w:p w14:paraId="70365564" w14:textId="38137B5C" w:rsidR="00E238E8" w:rsidRPr="0013319C" w:rsidRDefault="002D41F2" w:rsidP="00E238E8">
      <w:pPr>
        <w:pStyle w:val="ListParagraph"/>
        <w:numPr>
          <w:ilvl w:val="0"/>
          <w:numId w:val="2"/>
        </w:numPr>
        <w:rPr>
          <w:lang w:val="es-ES"/>
        </w:rPr>
      </w:pPr>
      <w:r w:rsidRPr="0013319C">
        <w:rPr>
          <w:lang w:val="es-ES"/>
        </w:rPr>
        <w:t xml:space="preserve">invadir el espacio personal de una persona, </w:t>
      </w:r>
      <w:r w:rsidR="00383D8E" w:rsidRPr="0013319C">
        <w:rPr>
          <w:lang w:val="es-ES"/>
        </w:rPr>
        <w:t>como acerc</w:t>
      </w:r>
      <w:r w:rsidR="00C523CD" w:rsidRPr="0013319C">
        <w:rPr>
          <w:lang w:val="es-ES"/>
        </w:rPr>
        <w:t xml:space="preserve">arse más de lo necesario o apropiado o </w:t>
      </w:r>
      <w:r w:rsidR="001A1426" w:rsidRPr="0013319C">
        <w:rPr>
          <w:lang w:val="es-ES"/>
        </w:rPr>
        <w:t>merodear cerca de</w:t>
      </w:r>
      <w:r w:rsidR="00C9126E" w:rsidRPr="0013319C">
        <w:rPr>
          <w:lang w:val="es-ES"/>
        </w:rPr>
        <w:t xml:space="preserve"> la persona</w:t>
      </w:r>
      <w:r w:rsidR="00E238E8" w:rsidRPr="0013319C">
        <w:rPr>
          <w:lang w:val="es-ES"/>
        </w:rPr>
        <w:t xml:space="preserve">; </w:t>
      </w:r>
      <w:r w:rsidR="00C9126E" w:rsidRPr="0013319C">
        <w:rPr>
          <w:lang w:val="es-ES"/>
        </w:rPr>
        <w:t>o</w:t>
      </w:r>
      <w:r w:rsidR="00E238E8" w:rsidRPr="0013319C">
        <w:rPr>
          <w:lang w:val="es-ES"/>
        </w:rPr>
        <w:t xml:space="preserve"> </w:t>
      </w:r>
    </w:p>
    <w:p w14:paraId="573350C0" w14:textId="26FB3521" w:rsidR="00E238E8" w:rsidRPr="0013319C" w:rsidRDefault="001A1426" w:rsidP="00E238E8">
      <w:pPr>
        <w:pStyle w:val="ListParagraph"/>
        <w:numPr>
          <w:ilvl w:val="0"/>
          <w:numId w:val="2"/>
        </w:numPr>
        <w:rPr>
          <w:lang w:val="es-ES"/>
        </w:rPr>
      </w:pPr>
      <w:r w:rsidRPr="0013319C">
        <w:rPr>
          <w:lang w:val="es-ES"/>
        </w:rPr>
        <w:t xml:space="preserve">ver a una persona </w:t>
      </w:r>
      <w:r w:rsidR="00376DD4" w:rsidRPr="0013319C">
        <w:rPr>
          <w:lang w:val="es-ES"/>
        </w:rPr>
        <w:t xml:space="preserve">de una manera sexualmente insinuante o intimidante. </w:t>
      </w:r>
    </w:p>
    <w:p w14:paraId="32EDA63B" w14:textId="77777777" w:rsidR="00E238E8" w:rsidRPr="0013319C" w:rsidRDefault="00E238E8" w:rsidP="00E238E8">
      <w:pPr>
        <w:rPr>
          <w:lang w:val="es-ES"/>
        </w:rPr>
      </w:pPr>
    </w:p>
    <w:p w14:paraId="1DD4C5B4" w14:textId="32EF6ED0" w:rsidR="00E238E8" w:rsidRPr="0013319C" w:rsidRDefault="00376DD4" w:rsidP="00E238E8">
      <w:pPr>
        <w:rPr>
          <w:lang w:val="es-ES"/>
        </w:rPr>
      </w:pPr>
      <w:r w:rsidRPr="0013319C">
        <w:rPr>
          <w:lang w:val="es-ES"/>
        </w:rPr>
        <w:t xml:space="preserve">Para ver una definición más detallada, visita </w:t>
      </w:r>
      <w:r w:rsidR="00E238E8" w:rsidRPr="0013319C">
        <w:rPr>
          <w:lang w:val="es-ES"/>
        </w:rPr>
        <w:t xml:space="preserve">policies.mit.edu. </w:t>
      </w:r>
    </w:p>
    <w:p w14:paraId="597F753B" w14:textId="77777777" w:rsidR="00E238E8" w:rsidRPr="0013319C" w:rsidRDefault="00E238E8" w:rsidP="00E238E8">
      <w:pPr>
        <w:rPr>
          <w:lang w:val="es-ES"/>
        </w:rPr>
      </w:pPr>
    </w:p>
    <w:p w14:paraId="6E96D410" w14:textId="5AADBC03" w:rsidR="00E238E8" w:rsidRPr="0013319C" w:rsidRDefault="00376DD4" w:rsidP="00E238E8">
      <w:pPr>
        <w:rPr>
          <w:lang w:val="es-ES"/>
        </w:rPr>
      </w:pPr>
      <w:r w:rsidRPr="0013319C">
        <w:rPr>
          <w:lang w:val="es-ES"/>
        </w:rPr>
        <w:t xml:space="preserve">Para conocer más sobre las políticas y recursos </w:t>
      </w:r>
      <w:r w:rsidR="003F0976" w:rsidRPr="0013319C">
        <w:rPr>
          <w:lang w:val="es-ES"/>
        </w:rPr>
        <w:t xml:space="preserve">existentes </w:t>
      </w:r>
      <w:r w:rsidR="00631BD4" w:rsidRPr="0013319C">
        <w:rPr>
          <w:lang w:val="es-ES"/>
        </w:rPr>
        <w:t xml:space="preserve">para otras formas de discriminación basada en el género, que incluyen conductas sexuales inapropiadas, </w:t>
      </w:r>
      <w:r w:rsidR="003F0976" w:rsidRPr="0013319C">
        <w:rPr>
          <w:lang w:val="es-ES"/>
        </w:rPr>
        <w:t xml:space="preserve">violencia de pareja sentimental, y acecho, visita </w:t>
      </w:r>
      <w:r w:rsidR="00E238E8" w:rsidRPr="0013319C">
        <w:rPr>
          <w:lang w:val="es-ES"/>
        </w:rPr>
        <w:t>idhr.mit.edu</w:t>
      </w:r>
    </w:p>
    <w:p w14:paraId="4CC70E27" w14:textId="13A5CE09" w:rsidR="00E238E8" w:rsidRPr="0013319C" w:rsidRDefault="00E238E8" w:rsidP="00E238E8">
      <w:pPr>
        <w:rPr>
          <w:lang w:val="es-ES"/>
        </w:rPr>
      </w:pPr>
    </w:p>
    <w:p w14:paraId="632C885A" w14:textId="2626759E" w:rsidR="00E238E8" w:rsidRPr="0013319C" w:rsidRDefault="003F0976" w:rsidP="00E238E8">
      <w:pPr>
        <w:rPr>
          <w:b/>
          <w:bCs/>
          <w:lang w:val="es-ES"/>
        </w:rPr>
      </w:pPr>
      <w:r w:rsidRPr="0013319C">
        <w:rPr>
          <w:b/>
          <w:bCs/>
          <w:lang w:val="es-ES"/>
        </w:rPr>
        <w:t>¿Qué puede hacer</w:t>
      </w:r>
      <w:r w:rsidR="00E238E8" w:rsidRPr="0013319C">
        <w:rPr>
          <w:b/>
          <w:bCs/>
          <w:lang w:val="es-ES"/>
        </w:rPr>
        <w:t xml:space="preserve"> IDHR </w:t>
      </w:r>
      <w:r w:rsidRPr="0013319C">
        <w:rPr>
          <w:b/>
          <w:bCs/>
          <w:lang w:val="es-ES"/>
        </w:rPr>
        <w:t>por ti</w:t>
      </w:r>
      <w:r w:rsidR="00E238E8" w:rsidRPr="0013319C">
        <w:rPr>
          <w:b/>
          <w:bCs/>
          <w:lang w:val="es-ES"/>
        </w:rPr>
        <w:t>?</w:t>
      </w:r>
    </w:p>
    <w:p w14:paraId="4F1D3B4B" w14:textId="2E53EB63" w:rsidR="00E238E8" w:rsidRPr="0013319C" w:rsidRDefault="003F0976" w:rsidP="00E238E8">
      <w:pPr>
        <w:rPr>
          <w:lang w:val="es-ES"/>
        </w:rPr>
      </w:pPr>
      <w:r w:rsidRPr="0013319C">
        <w:rPr>
          <w:lang w:val="es-ES"/>
        </w:rPr>
        <w:t xml:space="preserve">LA MISIÓN DE </w:t>
      </w:r>
      <w:r w:rsidR="00E238E8" w:rsidRPr="0013319C">
        <w:rPr>
          <w:lang w:val="es-ES"/>
        </w:rPr>
        <w:t>IDH</w:t>
      </w:r>
      <w:r w:rsidRPr="0013319C">
        <w:rPr>
          <w:lang w:val="es-ES"/>
        </w:rPr>
        <w:t>R</w:t>
      </w:r>
      <w:r w:rsidR="00E238E8" w:rsidRPr="0013319C">
        <w:rPr>
          <w:lang w:val="es-ES"/>
        </w:rPr>
        <w:t xml:space="preserve">: MIT </w:t>
      </w:r>
      <w:r w:rsidRPr="0013319C">
        <w:rPr>
          <w:lang w:val="es-ES"/>
        </w:rPr>
        <w:t xml:space="preserve">está comprometido </w:t>
      </w:r>
      <w:r w:rsidR="00FF3B5D" w:rsidRPr="0013319C">
        <w:rPr>
          <w:lang w:val="es-ES"/>
        </w:rPr>
        <w:t>a</w:t>
      </w:r>
      <w:r w:rsidR="00CE2F51" w:rsidRPr="0013319C">
        <w:rPr>
          <w:lang w:val="es-ES"/>
        </w:rPr>
        <w:t xml:space="preserve"> proporcionar un entorno laboral, de vida y educativo</w:t>
      </w:r>
      <w:r w:rsidR="008E3E8D" w:rsidRPr="0013319C">
        <w:rPr>
          <w:lang w:val="es-ES"/>
        </w:rPr>
        <w:t xml:space="preserve"> libre de discriminación y acoso discriminatorio para todos los miembros de la comunidad</w:t>
      </w:r>
      <w:r w:rsidR="00066EF3" w:rsidRPr="0013319C">
        <w:rPr>
          <w:lang w:val="es-ES"/>
        </w:rPr>
        <w:t>, incluyendo a estudiantes, profesores y</w:t>
      </w:r>
      <w:r w:rsidR="00CE2F51" w:rsidRPr="0013319C">
        <w:rPr>
          <w:lang w:val="es-ES"/>
        </w:rPr>
        <w:t xml:space="preserve"> </w:t>
      </w:r>
      <w:r w:rsidR="00066EF3" w:rsidRPr="0013319C">
        <w:rPr>
          <w:lang w:val="es-ES"/>
        </w:rPr>
        <w:t>personal</w:t>
      </w:r>
      <w:r w:rsidR="00E238E8" w:rsidRPr="0013319C">
        <w:rPr>
          <w:lang w:val="es-ES"/>
        </w:rPr>
        <w:t xml:space="preserve">. </w:t>
      </w:r>
      <w:r w:rsidR="00FB5667" w:rsidRPr="0013319C">
        <w:rPr>
          <w:lang w:val="es-ES"/>
        </w:rPr>
        <w:t xml:space="preserve">A pesar de que abordar los incidentes de discriminación es responsabilidad de toda la comunidad, </w:t>
      </w:r>
      <w:r w:rsidR="009D2352" w:rsidRPr="0013319C">
        <w:rPr>
          <w:lang w:val="es-ES"/>
        </w:rPr>
        <w:t xml:space="preserve">la Oficina de Respuesta a Discriminación y Acoso del Instituto </w:t>
      </w:r>
      <w:r w:rsidR="00E238E8" w:rsidRPr="0013319C">
        <w:rPr>
          <w:lang w:val="es-ES"/>
        </w:rPr>
        <w:t xml:space="preserve">(IDHR) </w:t>
      </w:r>
      <w:r w:rsidR="00B60369" w:rsidRPr="0013319C">
        <w:rPr>
          <w:lang w:val="es-ES"/>
        </w:rPr>
        <w:t xml:space="preserve">da </w:t>
      </w:r>
      <w:r w:rsidR="0018013C" w:rsidRPr="0013319C">
        <w:rPr>
          <w:lang w:val="es-ES"/>
        </w:rPr>
        <w:t>respaldo</w:t>
      </w:r>
      <w:r w:rsidR="00B60369" w:rsidRPr="0013319C">
        <w:rPr>
          <w:lang w:val="es-ES"/>
        </w:rPr>
        <w:t xml:space="preserve"> a los miembros de la comunidad que hayan sufrido </w:t>
      </w:r>
      <w:r w:rsidR="00F6714D" w:rsidRPr="0013319C">
        <w:rPr>
          <w:lang w:val="es-ES"/>
        </w:rPr>
        <w:t xml:space="preserve">perjuicios </w:t>
      </w:r>
      <w:r w:rsidR="0018013C" w:rsidRPr="0013319C">
        <w:rPr>
          <w:lang w:val="es-ES"/>
        </w:rPr>
        <w:t>proporcionándoles</w:t>
      </w:r>
      <w:r w:rsidR="0097748B" w:rsidRPr="0013319C">
        <w:rPr>
          <w:lang w:val="es-ES"/>
        </w:rPr>
        <w:t xml:space="preserve"> acceso</w:t>
      </w:r>
      <w:r w:rsidR="00F6714D" w:rsidRPr="0013319C">
        <w:rPr>
          <w:lang w:val="es-ES"/>
        </w:rPr>
        <w:t xml:space="preserve"> a medidas de apoyo, </w:t>
      </w:r>
      <w:r w:rsidR="000627C8" w:rsidRPr="0013319C">
        <w:rPr>
          <w:lang w:val="es-ES"/>
        </w:rPr>
        <w:t xml:space="preserve">a </w:t>
      </w:r>
      <w:r w:rsidR="00F6714D" w:rsidRPr="0013319C">
        <w:rPr>
          <w:lang w:val="es-ES"/>
        </w:rPr>
        <w:t xml:space="preserve">procedimientos de resolución de conflictos informales/alternativos, y </w:t>
      </w:r>
      <w:r w:rsidR="000627C8" w:rsidRPr="0013319C">
        <w:rPr>
          <w:lang w:val="es-ES"/>
        </w:rPr>
        <w:t>al proceso de denuncia formal.</w:t>
      </w:r>
      <w:r w:rsidR="00E238E8" w:rsidRPr="0013319C">
        <w:rPr>
          <w:lang w:val="es-ES"/>
        </w:rPr>
        <w:t xml:space="preserve"> </w:t>
      </w:r>
    </w:p>
    <w:p w14:paraId="382F59AA" w14:textId="77777777" w:rsidR="00E238E8" w:rsidRPr="0013319C" w:rsidRDefault="00E238E8" w:rsidP="00E238E8">
      <w:pPr>
        <w:rPr>
          <w:lang w:val="es-ES"/>
        </w:rPr>
      </w:pPr>
    </w:p>
    <w:p w14:paraId="227A394A" w14:textId="2265ACBE" w:rsidR="00E238E8" w:rsidRPr="0013319C" w:rsidRDefault="0018013C" w:rsidP="00E238E8">
      <w:pPr>
        <w:rPr>
          <w:b/>
          <w:bCs/>
          <w:lang w:val="es-ES"/>
        </w:rPr>
      </w:pPr>
      <w:r w:rsidRPr="0013319C">
        <w:rPr>
          <w:b/>
          <w:bCs/>
          <w:lang w:val="es-ES"/>
        </w:rPr>
        <w:t>Servicios de</w:t>
      </w:r>
      <w:r w:rsidR="009D5376" w:rsidRPr="0013319C">
        <w:rPr>
          <w:b/>
          <w:bCs/>
          <w:lang w:val="es-ES"/>
        </w:rPr>
        <w:t xml:space="preserve"> </w:t>
      </w:r>
      <w:r w:rsidR="00EB5AD0" w:rsidRPr="0013319C">
        <w:rPr>
          <w:b/>
          <w:bCs/>
          <w:lang w:val="es-ES"/>
        </w:rPr>
        <w:t xml:space="preserve">IDHR: </w:t>
      </w:r>
    </w:p>
    <w:p w14:paraId="51FFE47D" w14:textId="0AA9044C" w:rsidR="00E238E8" w:rsidRPr="0013319C" w:rsidRDefault="00E238E8" w:rsidP="00E238E8">
      <w:pPr>
        <w:rPr>
          <w:lang w:val="es-ES"/>
        </w:rPr>
      </w:pPr>
      <w:r w:rsidRPr="0013319C">
        <w:rPr>
          <w:lang w:val="es-ES"/>
        </w:rPr>
        <w:t xml:space="preserve">1. </w:t>
      </w:r>
      <w:r w:rsidR="009D5376" w:rsidRPr="0013319C">
        <w:rPr>
          <w:lang w:val="es-ES"/>
        </w:rPr>
        <w:t xml:space="preserve">Educación y Entrenamiento: Estamos disponibles para formar a grupos sobre servicios de IDHR, </w:t>
      </w:r>
      <w:r w:rsidR="00B15B0B" w:rsidRPr="0013319C">
        <w:rPr>
          <w:lang w:val="es-ES"/>
        </w:rPr>
        <w:t xml:space="preserve">lo que significa ser un empleado responsable, políticas del MIT, opciones y derechos de denuncia, </w:t>
      </w:r>
      <w:r w:rsidR="006B7EDF" w:rsidRPr="0013319C">
        <w:rPr>
          <w:lang w:val="es-ES"/>
        </w:rPr>
        <w:t xml:space="preserve">datos del MIT sobre discriminación y acoso, </w:t>
      </w:r>
      <w:r w:rsidR="003C7DBC" w:rsidRPr="0013319C">
        <w:rPr>
          <w:lang w:val="es-ES"/>
        </w:rPr>
        <w:t>intervención de espectadores</w:t>
      </w:r>
      <w:r w:rsidRPr="0013319C">
        <w:rPr>
          <w:lang w:val="es-ES"/>
        </w:rPr>
        <w:t xml:space="preserve">, </w:t>
      </w:r>
      <w:r w:rsidR="003C7DBC" w:rsidRPr="0013319C">
        <w:rPr>
          <w:lang w:val="es-ES"/>
        </w:rPr>
        <w:t xml:space="preserve">y </w:t>
      </w:r>
      <w:r w:rsidR="00173051">
        <w:rPr>
          <w:lang w:val="es-ES"/>
        </w:rPr>
        <w:t>la promoción de</w:t>
      </w:r>
      <w:r w:rsidR="003C7DBC" w:rsidRPr="0013319C">
        <w:rPr>
          <w:lang w:val="es-ES"/>
        </w:rPr>
        <w:t xml:space="preserve"> </w:t>
      </w:r>
      <w:r w:rsidR="003E6EC4" w:rsidRPr="0013319C">
        <w:rPr>
          <w:lang w:val="es-ES"/>
        </w:rPr>
        <w:t xml:space="preserve">entornos inclusivos. </w:t>
      </w:r>
    </w:p>
    <w:p w14:paraId="0D4DA08C" w14:textId="3B3AD2EB" w:rsidR="00E238E8" w:rsidRPr="0013319C" w:rsidRDefault="00E238E8" w:rsidP="00E238E8">
      <w:pPr>
        <w:rPr>
          <w:lang w:val="es-ES"/>
        </w:rPr>
      </w:pPr>
      <w:r w:rsidRPr="0013319C">
        <w:rPr>
          <w:lang w:val="es-ES"/>
        </w:rPr>
        <w:t xml:space="preserve">2. </w:t>
      </w:r>
      <w:r w:rsidR="003E6EC4" w:rsidRPr="0013319C">
        <w:rPr>
          <w:lang w:val="es-ES"/>
        </w:rPr>
        <w:t>Medidas de Apoyo</w:t>
      </w:r>
      <w:r w:rsidRPr="0013319C">
        <w:rPr>
          <w:lang w:val="es-ES"/>
        </w:rPr>
        <w:t xml:space="preserve">: </w:t>
      </w:r>
      <w:r w:rsidR="003E6EC4" w:rsidRPr="0013319C">
        <w:rPr>
          <w:lang w:val="es-ES"/>
        </w:rPr>
        <w:t xml:space="preserve">Nuestro personal puede explicarte las diferentes opciones </w:t>
      </w:r>
      <w:r w:rsidR="00E85A8E" w:rsidRPr="0013319C">
        <w:rPr>
          <w:lang w:val="es-ES"/>
        </w:rPr>
        <w:t xml:space="preserve">disponibles para atender el </w:t>
      </w:r>
      <w:r w:rsidR="00010FAC">
        <w:rPr>
          <w:lang w:val="es-ES"/>
        </w:rPr>
        <w:t>daño</w:t>
      </w:r>
      <w:r w:rsidR="00E85A8E" w:rsidRPr="0013319C">
        <w:rPr>
          <w:lang w:val="es-ES"/>
        </w:rPr>
        <w:t xml:space="preserve"> o evitar su repetición</w:t>
      </w:r>
      <w:r w:rsidRPr="0013319C">
        <w:rPr>
          <w:lang w:val="es-ES"/>
        </w:rPr>
        <w:t xml:space="preserve">. </w:t>
      </w:r>
      <w:r w:rsidR="00E85A8E" w:rsidRPr="0013319C">
        <w:rPr>
          <w:lang w:val="es-ES"/>
        </w:rPr>
        <w:t xml:space="preserve">Nuestro personal </w:t>
      </w:r>
      <w:r w:rsidR="00304BEA" w:rsidRPr="0013319C">
        <w:rPr>
          <w:lang w:val="es-ES"/>
        </w:rPr>
        <w:t xml:space="preserve">puede </w:t>
      </w:r>
      <w:r w:rsidR="00C85095">
        <w:rPr>
          <w:lang w:val="es-ES"/>
        </w:rPr>
        <w:t>implementar adaptaciones</w:t>
      </w:r>
      <w:r w:rsidR="00E83AE8" w:rsidRPr="0013319C">
        <w:rPr>
          <w:lang w:val="es-ES"/>
        </w:rPr>
        <w:t xml:space="preserve"> laborales, de vivienda o académicas; </w:t>
      </w:r>
      <w:r w:rsidR="00060BE6" w:rsidRPr="0013319C">
        <w:rPr>
          <w:lang w:val="es-ES"/>
        </w:rPr>
        <w:t xml:space="preserve">hablar con alguien sobre su comportamiento </w:t>
      </w:r>
      <w:r w:rsidR="002B267A" w:rsidRPr="0013319C">
        <w:rPr>
          <w:lang w:val="es-ES"/>
        </w:rPr>
        <w:t xml:space="preserve">y </w:t>
      </w:r>
      <w:r w:rsidR="00FC5D14" w:rsidRPr="0013319C">
        <w:rPr>
          <w:lang w:val="es-ES"/>
        </w:rPr>
        <w:t>el</w:t>
      </w:r>
      <w:r w:rsidR="002B267A" w:rsidRPr="0013319C">
        <w:rPr>
          <w:lang w:val="es-ES"/>
        </w:rPr>
        <w:t xml:space="preserve"> efecto</w:t>
      </w:r>
      <w:r w:rsidR="00FC5D14" w:rsidRPr="0013319C">
        <w:rPr>
          <w:lang w:val="es-ES"/>
        </w:rPr>
        <w:t xml:space="preserve"> que tiene</w:t>
      </w:r>
      <w:r w:rsidR="002B267A" w:rsidRPr="0013319C">
        <w:rPr>
          <w:lang w:val="es-ES"/>
        </w:rPr>
        <w:t xml:space="preserve"> sobre ti; y dictar una orden de alejamiento; </w:t>
      </w:r>
    </w:p>
    <w:p w14:paraId="7B1A3940" w14:textId="0100ACB5" w:rsidR="00E238E8" w:rsidRPr="0013319C" w:rsidRDefault="00E238E8" w:rsidP="00E238E8">
      <w:pPr>
        <w:rPr>
          <w:lang w:val="es-ES"/>
        </w:rPr>
      </w:pPr>
      <w:r w:rsidRPr="0013319C">
        <w:rPr>
          <w:lang w:val="es-ES"/>
        </w:rPr>
        <w:t xml:space="preserve">3. </w:t>
      </w:r>
      <w:r w:rsidR="00FC5D14" w:rsidRPr="0013319C">
        <w:rPr>
          <w:lang w:val="es-ES"/>
        </w:rPr>
        <w:t xml:space="preserve">Procedimientos de Resolución de Conflictos </w:t>
      </w:r>
      <w:r w:rsidRPr="0013319C">
        <w:rPr>
          <w:lang w:val="es-ES"/>
        </w:rPr>
        <w:t>Informal</w:t>
      </w:r>
      <w:r w:rsidR="00FC5D14" w:rsidRPr="0013319C">
        <w:rPr>
          <w:lang w:val="es-ES"/>
        </w:rPr>
        <w:t>es</w:t>
      </w:r>
      <w:r w:rsidRPr="0013319C">
        <w:rPr>
          <w:lang w:val="es-ES"/>
        </w:rPr>
        <w:t>/Alternativ</w:t>
      </w:r>
      <w:r w:rsidR="00FC5D14" w:rsidRPr="0013319C">
        <w:rPr>
          <w:lang w:val="es-ES"/>
        </w:rPr>
        <w:t>os</w:t>
      </w:r>
      <w:r w:rsidRPr="0013319C">
        <w:rPr>
          <w:lang w:val="es-ES"/>
        </w:rPr>
        <w:t xml:space="preserve"> *: I/ADR </w:t>
      </w:r>
      <w:r w:rsidR="00FC5D14" w:rsidRPr="0013319C">
        <w:rPr>
          <w:lang w:val="es-ES"/>
        </w:rPr>
        <w:t xml:space="preserve">es un procedimiento voluntario </w:t>
      </w:r>
      <w:r w:rsidR="009D550A" w:rsidRPr="0013319C">
        <w:rPr>
          <w:lang w:val="es-ES"/>
        </w:rPr>
        <w:t xml:space="preserve">que tiene la finalidad de </w:t>
      </w:r>
      <w:r w:rsidR="000831F0" w:rsidRPr="0013319C">
        <w:rPr>
          <w:lang w:val="es-ES"/>
        </w:rPr>
        <w:t xml:space="preserve">resolver situaciones </w:t>
      </w:r>
      <w:r w:rsidR="00AE4EB2" w:rsidRPr="0013319C">
        <w:rPr>
          <w:lang w:val="es-ES"/>
        </w:rPr>
        <w:t xml:space="preserve">buscando </w:t>
      </w:r>
      <w:r w:rsidR="00DA5177" w:rsidRPr="0013319C">
        <w:rPr>
          <w:lang w:val="es-ES"/>
        </w:rPr>
        <w:t>llegar a acuerdo</w:t>
      </w:r>
      <w:r w:rsidR="002052A5" w:rsidRPr="0013319C">
        <w:rPr>
          <w:lang w:val="es-ES"/>
        </w:rPr>
        <w:t xml:space="preserve">s que sean aceptados por las partes y </w:t>
      </w:r>
      <w:r w:rsidR="00F11C65" w:rsidRPr="0013319C">
        <w:rPr>
          <w:lang w:val="es-ES"/>
        </w:rPr>
        <w:t xml:space="preserve">por </w:t>
      </w:r>
      <w:r w:rsidRPr="0013319C">
        <w:rPr>
          <w:lang w:val="es-ES"/>
        </w:rPr>
        <w:t xml:space="preserve">IDHR. </w:t>
      </w:r>
      <w:r w:rsidR="00F11C65" w:rsidRPr="0013319C">
        <w:rPr>
          <w:lang w:val="es-ES"/>
        </w:rPr>
        <w:t>Algunas opciones incluyen la mediación</w:t>
      </w:r>
      <w:r w:rsidR="0016518A" w:rsidRPr="0013319C">
        <w:rPr>
          <w:lang w:val="es-ES"/>
        </w:rPr>
        <w:t xml:space="preserve"> o un diálogo moderado</w:t>
      </w:r>
      <w:r w:rsidRPr="0013319C">
        <w:rPr>
          <w:lang w:val="es-ES"/>
        </w:rPr>
        <w:t xml:space="preserve">. </w:t>
      </w:r>
    </w:p>
    <w:p w14:paraId="5726C9DD" w14:textId="7471BBF4" w:rsidR="00E238E8" w:rsidRPr="0013319C" w:rsidRDefault="00E238E8" w:rsidP="00E238E8">
      <w:pPr>
        <w:rPr>
          <w:lang w:val="es-ES"/>
        </w:rPr>
      </w:pPr>
      <w:r w:rsidRPr="0013319C">
        <w:rPr>
          <w:lang w:val="es-ES"/>
        </w:rPr>
        <w:lastRenderedPageBreak/>
        <w:t xml:space="preserve">4. </w:t>
      </w:r>
      <w:r w:rsidR="008F0A0B" w:rsidRPr="0013319C">
        <w:rPr>
          <w:lang w:val="es-ES"/>
        </w:rPr>
        <w:t xml:space="preserve">Procedimientos de Denuncia Formal: Nuestro personal puede ayudarte a </w:t>
      </w:r>
      <w:r w:rsidR="00BA5ABD" w:rsidRPr="0013319C">
        <w:rPr>
          <w:lang w:val="es-ES"/>
        </w:rPr>
        <w:t xml:space="preserve">presentar una denuncia formal, la cual podrá tener como resultado </w:t>
      </w:r>
      <w:r w:rsidR="00514594" w:rsidRPr="0013319C">
        <w:rPr>
          <w:lang w:val="es-ES"/>
        </w:rPr>
        <w:t xml:space="preserve">el hallazgo de </w:t>
      </w:r>
      <w:r w:rsidR="000F18F3">
        <w:rPr>
          <w:lang w:val="es-ES"/>
        </w:rPr>
        <w:t>la</w:t>
      </w:r>
      <w:r w:rsidR="00514594" w:rsidRPr="0013319C">
        <w:rPr>
          <w:lang w:val="es-ES"/>
        </w:rPr>
        <w:t xml:space="preserve"> violación </w:t>
      </w:r>
      <w:r w:rsidR="005A1DF5">
        <w:rPr>
          <w:lang w:val="es-ES"/>
        </w:rPr>
        <w:t>de</w:t>
      </w:r>
      <w:r w:rsidR="00603BA8">
        <w:rPr>
          <w:lang w:val="es-ES"/>
        </w:rPr>
        <w:t xml:space="preserve"> alguna</w:t>
      </w:r>
      <w:r w:rsidR="00514594" w:rsidRPr="0013319C">
        <w:rPr>
          <w:lang w:val="es-ES"/>
        </w:rPr>
        <w:t xml:space="preserve"> política o </w:t>
      </w:r>
      <w:r w:rsidR="009962D8" w:rsidRPr="0013319C">
        <w:rPr>
          <w:lang w:val="es-ES"/>
        </w:rPr>
        <w:t xml:space="preserve">el establecimiento de sanciones o consecuencias. </w:t>
      </w:r>
    </w:p>
    <w:p w14:paraId="56C08B86" w14:textId="77777777" w:rsidR="00E238E8" w:rsidRPr="0013319C" w:rsidRDefault="00E238E8" w:rsidP="00E238E8">
      <w:pPr>
        <w:rPr>
          <w:lang w:val="es-ES"/>
        </w:rPr>
      </w:pPr>
    </w:p>
    <w:p w14:paraId="7B82B7E5" w14:textId="5667C4E7" w:rsidR="00E238E8" w:rsidRPr="0013319C" w:rsidRDefault="00E238E8" w:rsidP="00E238E8">
      <w:pPr>
        <w:rPr>
          <w:lang w:val="es-ES"/>
        </w:rPr>
      </w:pPr>
      <w:r w:rsidRPr="0013319C">
        <w:rPr>
          <w:lang w:val="es-ES"/>
        </w:rPr>
        <w:t xml:space="preserve">* </w:t>
      </w:r>
      <w:r w:rsidR="009962D8" w:rsidRPr="0013319C">
        <w:rPr>
          <w:lang w:val="es-ES"/>
        </w:rPr>
        <w:t>Para empleados</w:t>
      </w:r>
      <w:r w:rsidRPr="0013319C">
        <w:rPr>
          <w:lang w:val="es-ES"/>
        </w:rPr>
        <w:t xml:space="preserve"> — </w:t>
      </w:r>
      <w:r w:rsidR="00957C6B">
        <w:rPr>
          <w:lang w:val="es-ES"/>
        </w:rPr>
        <w:t>t</w:t>
      </w:r>
      <w:r w:rsidR="00DD2B27" w:rsidRPr="0013319C">
        <w:rPr>
          <w:lang w:val="es-ES"/>
        </w:rPr>
        <w:t>u contacto de R</w:t>
      </w:r>
      <w:r w:rsidR="00957C6B">
        <w:rPr>
          <w:lang w:val="es-ES"/>
        </w:rPr>
        <w:t>R</w:t>
      </w:r>
      <w:r w:rsidR="00DD2B27" w:rsidRPr="0013319C">
        <w:rPr>
          <w:lang w:val="es-ES"/>
        </w:rPr>
        <w:t>H</w:t>
      </w:r>
      <w:r w:rsidR="00957C6B">
        <w:rPr>
          <w:lang w:val="es-ES"/>
        </w:rPr>
        <w:t>H</w:t>
      </w:r>
      <w:r w:rsidR="00DD2B27" w:rsidRPr="0013319C">
        <w:rPr>
          <w:lang w:val="es-ES"/>
        </w:rPr>
        <w:t xml:space="preserve"> o </w:t>
      </w:r>
      <w:r w:rsidR="006457F0">
        <w:rPr>
          <w:lang w:val="es-ES"/>
        </w:rPr>
        <w:t>t</w:t>
      </w:r>
      <w:r w:rsidR="00DD2B27" w:rsidRPr="0013319C">
        <w:rPr>
          <w:lang w:val="es-ES"/>
        </w:rPr>
        <w:t xml:space="preserve">u Agente de Recursos Humanos en </w:t>
      </w:r>
      <w:r w:rsidR="00957C6B">
        <w:rPr>
          <w:lang w:val="es-ES"/>
        </w:rPr>
        <w:t>la central de R</w:t>
      </w:r>
      <w:r w:rsidR="00DD2B27" w:rsidRPr="0013319C">
        <w:rPr>
          <w:lang w:val="es-ES"/>
        </w:rPr>
        <w:t>R</w:t>
      </w:r>
      <w:r w:rsidR="00957C6B">
        <w:rPr>
          <w:lang w:val="es-ES"/>
        </w:rPr>
        <w:t>H</w:t>
      </w:r>
      <w:r w:rsidR="00DD2B27" w:rsidRPr="0013319C">
        <w:rPr>
          <w:lang w:val="es-ES"/>
        </w:rPr>
        <w:t>H puede proporcionar</w:t>
      </w:r>
      <w:r w:rsidR="00957C6B">
        <w:rPr>
          <w:lang w:val="es-ES"/>
        </w:rPr>
        <w:t>t</w:t>
      </w:r>
      <w:r w:rsidR="00DD2B27" w:rsidRPr="0013319C">
        <w:rPr>
          <w:lang w:val="es-ES"/>
        </w:rPr>
        <w:t xml:space="preserve">e estos servicios igualmente. </w:t>
      </w:r>
      <w:r w:rsidRPr="0013319C">
        <w:rPr>
          <w:lang w:val="es-ES"/>
        </w:rPr>
        <w:t xml:space="preserve"> </w:t>
      </w:r>
    </w:p>
    <w:p w14:paraId="5ADDD8C7" w14:textId="77777777" w:rsidR="00E238E8" w:rsidRPr="0013319C" w:rsidRDefault="00E238E8" w:rsidP="00E238E8">
      <w:pPr>
        <w:rPr>
          <w:lang w:val="es-ES"/>
        </w:rPr>
      </w:pPr>
    </w:p>
    <w:p w14:paraId="639405A1" w14:textId="4CA2B7A5" w:rsidR="00E238E8" w:rsidRPr="0013319C" w:rsidRDefault="00E238E8" w:rsidP="00E238E8">
      <w:pPr>
        <w:rPr>
          <w:lang w:val="es-ES"/>
        </w:rPr>
      </w:pPr>
    </w:p>
    <w:p w14:paraId="196C2304" w14:textId="77777777" w:rsidR="00E238E8" w:rsidRPr="0013319C" w:rsidRDefault="00E238E8" w:rsidP="00E238E8">
      <w:pPr>
        <w:rPr>
          <w:lang w:val="es-ES"/>
        </w:rPr>
      </w:pPr>
    </w:p>
    <w:p w14:paraId="4F4973D8" w14:textId="77777777" w:rsidR="00E238E8" w:rsidRPr="0013319C" w:rsidRDefault="00E238E8">
      <w:pPr>
        <w:rPr>
          <w:lang w:val="es-ES"/>
        </w:rPr>
      </w:pPr>
    </w:p>
    <w:sectPr w:rsidR="00E238E8" w:rsidRPr="0013319C" w:rsidSect="008F5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E86"/>
    <w:multiLevelType w:val="hybridMultilevel"/>
    <w:tmpl w:val="58566FE0"/>
    <w:lvl w:ilvl="0" w:tplc="79F6677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71E"/>
    <w:multiLevelType w:val="hybridMultilevel"/>
    <w:tmpl w:val="8BD2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56081"/>
    <w:multiLevelType w:val="hybridMultilevel"/>
    <w:tmpl w:val="1C72CAEC"/>
    <w:lvl w:ilvl="0" w:tplc="79F6677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82FBD"/>
    <w:multiLevelType w:val="hybridMultilevel"/>
    <w:tmpl w:val="58C60DD6"/>
    <w:lvl w:ilvl="0" w:tplc="79F6677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BF"/>
    <w:multiLevelType w:val="hybridMultilevel"/>
    <w:tmpl w:val="5530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6F30"/>
    <w:multiLevelType w:val="hybridMultilevel"/>
    <w:tmpl w:val="D3643C40"/>
    <w:lvl w:ilvl="0" w:tplc="79F6677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668B8"/>
    <w:multiLevelType w:val="hybridMultilevel"/>
    <w:tmpl w:val="609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525A3"/>
    <w:multiLevelType w:val="hybridMultilevel"/>
    <w:tmpl w:val="CD966BC2"/>
    <w:lvl w:ilvl="0" w:tplc="79F66770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40C4E"/>
    <w:multiLevelType w:val="hybridMultilevel"/>
    <w:tmpl w:val="99803276"/>
    <w:lvl w:ilvl="0" w:tplc="79F6677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56326"/>
    <w:multiLevelType w:val="hybridMultilevel"/>
    <w:tmpl w:val="D92A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E7457"/>
    <w:multiLevelType w:val="hybridMultilevel"/>
    <w:tmpl w:val="0064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64F60"/>
    <w:multiLevelType w:val="hybridMultilevel"/>
    <w:tmpl w:val="A0D0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E79BA"/>
    <w:multiLevelType w:val="hybridMultilevel"/>
    <w:tmpl w:val="3C34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25646">
    <w:abstractNumId w:val="10"/>
  </w:num>
  <w:num w:numId="2" w16cid:durableId="2022777723">
    <w:abstractNumId w:val="5"/>
  </w:num>
  <w:num w:numId="3" w16cid:durableId="732317968">
    <w:abstractNumId w:val="3"/>
  </w:num>
  <w:num w:numId="4" w16cid:durableId="504588482">
    <w:abstractNumId w:val="0"/>
  </w:num>
  <w:num w:numId="5" w16cid:durableId="2134518862">
    <w:abstractNumId w:val="1"/>
  </w:num>
  <w:num w:numId="6" w16cid:durableId="1216233931">
    <w:abstractNumId w:val="11"/>
  </w:num>
  <w:num w:numId="7" w16cid:durableId="1301376608">
    <w:abstractNumId w:val="8"/>
  </w:num>
  <w:num w:numId="8" w16cid:durableId="1895315396">
    <w:abstractNumId w:val="7"/>
  </w:num>
  <w:num w:numId="9" w16cid:durableId="579220804">
    <w:abstractNumId w:val="2"/>
  </w:num>
  <w:num w:numId="10" w16cid:durableId="1576206776">
    <w:abstractNumId w:val="9"/>
  </w:num>
  <w:num w:numId="11" w16cid:durableId="1294750141">
    <w:abstractNumId w:val="6"/>
  </w:num>
  <w:num w:numId="12" w16cid:durableId="1682393093">
    <w:abstractNumId w:val="12"/>
  </w:num>
  <w:num w:numId="13" w16cid:durableId="84150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E8"/>
    <w:rsid w:val="000022D8"/>
    <w:rsid w:val="00010FAC"/>
    <w:rsid w:val="00043709"/>
    <w:rsid w:val="000468A6"/>
    <w:rsid w:val="00055571"/>
    <w:rsid w:val="00060BE6"/>
    <w:rsid w:val="000627C8"/>
    <w:rsid w:val="00066EF3"/>
    <w:rsid w:val="00071D20"/>
    <w:rsid w:val="000831F0"/>
    <w:rsid w:val="000954C2"/>
    <w:rsid w:val="000E4CA7"/>
    <w:rsid w:val="000F18F3"/>
    <w:rsid w:val="001040B3"/>
    <w:rsid w:val="0013319C"/>
    <w:rsid w:val="001471FF"/>
    <w:rsid w:val="0016518A"/>
    <w:rsid w:val="00173051"/>
    <w:rsid w:val="0018013C"/>
    <w:rsid w:val="001A1426"/>
    <w:rsid w:val="001B3A83"/>
    <w:rsid w:val="001B3E63"/>
    <w:rsid w:val="001C6AE9"/>
    <w:rsid w:val="001E6ABB"/>
    <w:rsid w:val="00200119"/>
    <w:rsid w:val="002052A5"/>
    <w:rsid w:val="00210C61"/>
    <w:rsid w:val="002436C9"/>
    <w:rsid w:val="002633EC"/>
    <w:rsid w:val="00295CE3"/>
    <w:rsid w:val="002A4184"/>
    <w:rsid w:val="002B267A"/>
    <w:rsid w:val="002C0EA5"/>
    <w:rsid w:val="002D41F2"/>
    <w:rsid w:val="00304BEA"/>
    <w:rsid w:val="0030791D"/>
    <w:rsid w:val="003137D2"/>
    <w:rsid w:val="003407A3"/>
    <w:rsid w:val="00373E70"/>
    <w:rsid w:val="00376DD4"/>
    <w:rsid w:val="00383D8E"/>
    <w:rsid w:val="00386FF0"/>
    <w:rsid w:val="003A15B0"/>
    <w:rsid w:val="003C6349"/>
    <w:rsid w:val="003C7DBC"/>
    <w:rsid w:val="003D17D4"/>
    <w:rsid w:val="003E6EC4"/>
    <w:rsid w:val="003F0976"/>
    <w:rsid w:val="003F7734"/>
    <w:rsid w:val="0041067B"/>
    <w:rsid w:val="004466A7"/>
    <w:rsid w:val="004F5010"/>
    <w:rsid w:val="005060A0"/>
    <w:rsid w:val="00514594"/>
    <w:rsid w:val="00523A2D"/>
    <w:rsid w:val="00525CF9"/>
    <w:rsid w:val="005351CE"/>
    <w:rsid w:val="00537A2E"/>
    <w:rsid w:val="00542150"/>
    <w:rsid w:val="0056443C"/>
    <w:rsid w:val="00582398"/>
    <w:rsid w:val="005A1DF5"/>
    <w:rsid w:val="005A23BB"/>
    <w:rsid w:val="005C6DC6"/>
    <w:rsid w:val="005E4DFF"/>
    <w:rsid w:val="005F1E83"/>
    <w:rsid w:val="00603BA8"/>
    <w:rsid w:val="006054C9"/>
    <w:rsid w:val="00631BD4"/>
    <w:rsid w:val="00644AC6"/>
    <w:rsid w:val="006457F0"/>
    <w:rsid w:val="0068206B"/>
    <w:rsid w:val="006B7EDF"/>
    <w:rsid w:val="006C1EFD"/>
    <w:rsid w:val="006C5FAA"/>
    <w:rsid w:val="007A50E8"/>
    <w:rsid w:val="007B23F9"/>
    <w:rsid w:val="007E0CD9"/>
    <w:rsid w:val="007E43D8"/>
    <w:rsid w:val="00811530"/>
    <w:rsid w:val="008919FF"/>
    <w:rsid w:val="008B7D72"/>
    <w:rsid w:val="008D7224"/>
    <w:rsid w:val="008E3E8D"/>
    <w:rsid w:val="008F0A0B"/>
    <w:rsid w:val="008F0C92"/>
    <w:rsid w:val="008F57C4"/>
    <w:rsid w:val="0092019C"/>
    <w:rsid w:val="00923CB9"/>
    <w:rsid w:val="0093162B"/>
    <w:rsid w:val="00957C6B"/>
    <w:rsid w:val="00965483"/>
    <w:rsid w:val="0097748B"/>
    <w:rsid w:val="0098057F"/>
    <w:rsid w:val="00983BEF"/>
    <w:rsid w:val="009962D8"/>
    <w:rsid w:val="009A32E2"/>
    <w:rsid w:val="009C2C54"/>
    <w:rsid w:val="009C7744"/>
    <w:rsid w:val="009D2352"/>
    <w:rsid w:val="009D48BA"/>
    <w:rsid w:val="009D5376"/>
    <w:rsid w:val="009D5411"/>
    <w:rsid w:val="009D550A"/>
    <w:rsid w:val="00A03774"/>
    <w:rsid w:val="00A84401"/>
    <w:rsid w:val="00A90FFE"/>
    <w:rsid w:val="00AB2F4E"/>
    <w:rsid w:val="00AE0CAF"/>
    <w:rsid w:val="00AE2A74"/>
    <w:rsid w:val="00AE4EB2"/>
    <w:rsid w:val="00AF0B69"/>
    <w:rsid w:val="00B057C2"/>
    <w:rsid w:val="00B15B0B"/>
    <w:rsid w:val="00B4145A"/>
    <w:rsid w:val="00B455BF"/>
    <w:rsid w:val="00B529C4"/>
    <w:rsid w:val="00B60369"/>
    <w:rsid w:val="00B74566"/>
    <w:rsid w:val="00B82565"/>
    <w:rsid w:val="00B94A16"/>
    <w:rsid w:val="00BA5ABD"/>
    <w:rsid w:val="00BB1A85"/>
    <w:rsid w:val="00BE7B47"/>
    <w:rsid w:val="00C160EE"/>
    <w:rsid w:val="00C317B3"/>
    <w:rsid w:val="00C523CD"/>
    <w:rsid w:val="00C72F33"/>
    <w:rsid w:val="00C85095"/>
    <w:rsid w:val="00C9126E"/>
    <w:rsid w:val="00CE2F51"/>
    <w:rsid w:val="00CF6F5B"/>
    <w:rsid w:val="00D02E37"/>
    <w:rsid w:val="00D06936"/>
    <w:rsid w:val="00D145A0"/>
    <w:rsid w:val="00D21916"/>
    <w:rsid w:val="00D2227A"/>
    <w:rsid w:val="00D35216"/>
    <w:rsid w:val="00D36B7E"/>
    <w:rsid w:val="00D504C3"/>
    <w:rsid w:val="00D568EC"/>
    <w:rsid w:val="00D63BAB"/>
    <w:rsid w:val="00D75DB4"/>
    <w:rsid w:val="00D9493F"/>
    <w:rsid w:val="00DA5177"/>
    <w:rsid w:val="00DD2B27"/>
    <w:rsid w:val="00DE1561"/>
    <w:rsid w:val="00DE1B0E"/>
    <w:rsid w:val="00DF3881"/>
    <w:rsid w:val="00E238E8"/>
    <w:rsid w:val="00E27608"/>
    <w:rsid w:val="00E666DA"/>
    <w:rsid w:val="00E83AE8"/>
    <w:rsid w:val="00E84A46"/>
    <w:rsid w:val="00E84BB6"/>
    <w:rsid w:val="00E85A8E"/>
    <w:rsid w:val="00E87B24"/>
    <w:rsid w:val="00EA5570"/>
    <w:rsid w:val="00EB5AD0"/>
    <w:rsid w:val="00EC3972"/>
    <w:rsid w:val="00EE1984"/>
    <w:rsid w:val="00EF1837"/>
    <w:rsid w:val="00EF55E5"/>
    <w:rsid w:val="00F017FA"/>
    <w:rsid w:val="00F03631"/>
    <w:rsid w:val="00F11C65"/>
    <w:rsid w:val="00F20BF4"/>
    <w:rsid w:val="00F26645"/>
    <w:rsid w:val="00F401C1"/>
    <w:rsid w:val="00F61F71"/>
    <w:rsid w:val="00F6714D"/>
    <w:rsid w:val="00F956F9"/>
    <w:rsid w:val="00FA560F"/>
    <w:rsid w:val="00FB5667"/>
    <w:rsid w:val="00FC5D14"/>
    <w:rsid w:val="00FD5951"/>
    <w:rsid w:val="00FD5E87"/>
    <w:rsid w:val="00FE6F7E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1190"/>
  <w15:chartTrackingRefBased/>
  <w15:docId w15:val="{CDF3C3A7-3785-B941-8DA3-D442CA7D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Mendoza</dc:creator>
  <cp:keywords/>
  <dc:description/>
  <cp:lastModifiedBy>Vera Grbic</cp:lastModifiedBy>
  <cp:revision>3</cp:revision>
  <dcterms:created xsi:type="dcterms:W3CDTF">2021-03-15T13:59:00Z</dcterms:created>
  <dcterms:modified xsi:type="dcterms:W3CDTF">2023-05-26T15:37:00Z</dcterms:modified>
</cp:coreProperties>
</file>